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734"/>
        <w:gridCol w:w="2200"/>
        <w:gridCol w:w="5811"/>
      </w:tblGrid>
      <w:tr w:rsidR="00590B74" w:rsidRPr="00B02EDC" w14:paraId="0B179D08" w14:textId="77777777" w:rsidTr="00175BE5">
        <w:trPr>
          <w:trHeight w:val="509"/>
        </w:trPr>
        <w:tc>
          <w:tcPr>
            <w:tcW w:w="10632" w:type="dxa"/>
            <w:gridSpan w:val="4"/>
            <w:vMerge w:val="restart"/>
            <w:shd w:val="clear" w:color="auto" w:fill="auto"/>
            <w:vAlign w:val="center"/>
            <w:hideMark/>
          </w:tcPr>
          <w:p w14:paraId="4D77E1A0" w14:textId="6291F610" w:rsidR="00590B74" w:rsidRPr="00B02EDC" w:rsidRDefault="001D1A0D" w:rsidP="001D1A0D">
            <w:pPr>
              <w:spacing w:after="0" w:line="240" w:lineRule="auto"/>
              <w:jc w:val="center"/>
              <w:rPr>
                <w:rFonts w:ascii="Arial" w:hAnsi="Arial" w:cs="Arial"/>
                <w:b/>
                <w:bCs/>
                <w:sz w:val="20"/>
                <w:szCs w:val="20"/>
              </w:rPr>
            </w:pPr>
            <w:r w:rsidRPr="00B02EDC">
              <w:rPr>
                <w:rFonts w:ascii="Arial" w:hAnsi="Arial" w:cs="Arial"/>
                <w:b/>
                <w:bCs/>
                <w:sz w:val="20"/>
                <w:szCs w:val="20"/>
              </w:rPr>
              <w:t>Plerixafor Injection, 24 mg/1.2 mL (20 mg/mL)</w:t>
            </w:r>
            <w:r w:rsidR="00326AE7">
              <w:rPr>
                <w:rFonts w:ascii="Arial" w:hAnsi="Arial" w:cs="Arial"/>
                <w:b/>
                <w:bCs/>
                <w:sz w:val="20"/>
                <w:szCs w:val="20"/>
              </w:rPr>
              <w:t>,</w:t>
            </w:r>
            <w:r w:rsidR="000871A0">
              <w:rPr>
                <w:rFonts w:ascii="Arial" w:hAnsi="Arial" w:cs="Arial"/>
                <w:b/>
                <w:bCs/>
                <w:sz w:val="20"/>
                <w:szCs w:val="20"/>
              </w:rPr>
              <w:t xml:space="preserve"> Single dose Vial</w:t>
            </w:r>
          </w:p>
        </w:tc>
      </w:tr>
      <w:tr w:rsidR="00590B74" w:rsidRPr="00B02EDC" w14:paraId="46ED5234" w14:textId="77777777" w:rsidTr="00175BE5">
        <w:trPr>
          <w:trHeight w:val="509"/>
        </w:trPr>
        <w:tc>
          <w:tcPr>
            <w:tcW w:w="10632" w:type="dxa"/>
            <w:gridSpan w:val="4"/>
            <w:vMerge/>
            <w:vAlign w:val="center"/>
            <w:hideMark/>
          </w:tcPr>
          <w:p w14:paraId="23EFF095" w14:textId="77777777" w:rsidR="00590B74" w:rsidRPr="00B02EDC" w:rsidRDefault="00590B74" w:rsidP="00590B74">
            <w:pPr>
              <w:spacing w:after="0" w:line="240" w:lineRule="auto"/>
              <w:rPr>
                <w:rFonts w:ascii="Arial" w:eastAsia="Times New Roman" w:hAnsi="Arial" w:cs="Arial"/>
                <w:b/>
                <w:bCs/>
                <w:color w:val="000000"/>
                <w:sz w:val="20"/>
                <w:szCs w:val="20"/>
              </w:rPr>
            </w:pPr>
          </w:p>
        </w:tc>
      </w:tr>
      <w:tr w:rsidR="00590B74" w:rsidRPr="00B02EDC" w14:paraId="176C7BC3" w14:textId="77777777" w:rsidTr="00175BE5">
        <w:trPr>
          <w:trHeight w:val="509"/>
        </w:trPr>
        <w:tc>
          <w:tcPr>
            <w:tcW w:w="10632" w:type="dxa"/>
            <w:gridSpan w:val="4"/>
            <w:vMerge/>
            <w:vAlign w:val="center"/>
            <w:hideMark/>
          </w:tcPr>
          <w:p w14:paraId="19777913" w14:textId="77777777" w:rsidR="00590B74" w:rsidRPr="00B02EDC" w:rsidRDefault="00590B74" w:rsidP="00590B74">
            <w:pPr>
              <w:spacing w:after="0" w:line="240" w:lineRule="auto"/>
              <w:rPr>
                <w:rFonts w:ascii="Arial" w:eastAsia="Times New Roman" w:hAnsi="Arial" w:cs="Arial"/>
                <w:b/>
                <w:bCs/>
                <w:color w:val="000000"/>
                <w:sz w:val="20"/>
                <w:szCs w:val="20"/>
              </w:rPr>
            </w:pPr>
          </w:p>
        </w:tc>
      </w:tr>
      <w:tr w:rsidR="00590B74" w:rsidRPr="00B02EDC" w14:paraId="7348B93B" w14:textId="77777777" w:rsidTr="00175BE5">
        <w:trPr>
          <w:trHeight w:val="509"/>
        </w:trPr>
        <w:tc>
          <w:tcPr>
            <w:tcW w:w="10632" w:type="dxa"/>
            <w:gridSpan w:val="4"/>
            <w:vMerge/>
            <w:vAlign w:val="center"/>
            <w:hideMark/>
          </w:tcPr>
          <w:p w14:paraId="37D4A19C" w14:textId="77777777" w:rsidR="00590B74" w:rsidRPr="00B02EDC" w:rsidRDefault="00590B74" w:rsidP="00590B74">
            <w:pPr>
              <w:spacing w:after="0" w:line="240" w:lineRule="auto"/>
              <w:rPr>
                <w:rFonts w:ascii="Arial" w:eastAsia="Times New Roman" w:hAnsi="Arial" w:cs="Arial"/>
                <w:b/>
                <w:bCs/>
                <w:color w:val="000000"/>
                <w:sz w:val="20"/>
                <w:szCs w:val="20"/>
              </w:rPr>
            </w:pPr>
          </w:p>
        </w:tc>
      </w:tr>
      <w:tr w:rsidR="00590B74" w:rsidRPr="00B02EDC" w14:paraId="00F86056" w14:textId="77777777" w:rsidTr="00175BE5">
        <w:trPr>
          <w:trHeight w:val="521"/>
        </w:trPr>
        <w:tc>
          <w:tcPr>
            <w:tcW w:w="887" w:type="dxa"/>
            <w:shd w:val="clear" w:color="000000" w:fill="C4BD97"/>
            <w:vAlign w:val="center"/>
            <w:hideMark/>
          </w:tcPr>
          <w:p w14:paraId="47F70B49" w14:textId="77777777" w:rsidR="00590B74" w:rsidRPr="00B02EDC" w:rsidRDefault="00590B74" w:rsidP="00590B74">
            <w:pPr>
              <w:spacing w:after="0" w:line="240" w:lineRule="auto"/>
              <w:rPr>
                <w:rFonts w:ascii="Arial" w:eastAsia="Times New Roman" w:hAnsi="Arial" w:cs="Arial"/>
                <w:b/>
                <w:sz w:val="20"/>
                <w:szCs w:val="20"/>
              </w:rPr>
            </w:pPr>
            <w:r w:rsidRPr="00B02EDC">
              <w:rPr>
                <w:rFonts w:ascii="Arial" w:eastAsia="Times New Roman" w:hAnsi="Arial" w:cs="Arial"/>
                <w:b/>
                <w:sz w:val="20"/>
                <w:szCs w:val="20"/>
              </w:rPr>
              <w:t>S.No.</w:t>
            </w:r>
          </w:p>
        </w:tc>
        <w:tc>
          <w:tcPr>
            <w:tcW w:w="1734" w:type="dxa"/>
            <w:shd w:val="clear" w:color="000000" w:fill="C4BD97"/>
            <w:noWrap/>
            <w:vAlign w:val="center"/>
            <w:hideMark/>
          </w:tcPr>
          <w:p w14:paraId="6B78DD4A" w14:textId="77777777" w:rsidR="00590B74" w:rsidRPr="00B02EDC" w:rsidRDefault="00590B74" w:rsidP="00590B74">
            <w:pPr>
              <w:spacing w:after="0" w:line="240" w:lineRule="auto"/>
              <w:rPr>
                <w:rFonts w:ascii="Arial" w:eastAsia="Times New Roman" w:hAnsi="Arial" w:cs="Arial"/>
                <w:b/>
                <w:bCs/>
                <w:sz w:val="20"/>
                <w:szCs w:val="20"/>
              </w:rPr>
            </w:pPr>
            <w:r w:rsidRPr="00B02EDC">
              <w:rPr>
                <w:rFonts w:ascii="Arial" w:eastAsia="Times New Roman" w:hAnsi="Arial" w:cs="Arial"/>
                <w:b/>
                <w:bCs/>
                <w:sz w:val="20"/>
                <w:szCs w:val="20"/>
              </w:rPr>
              <w:t>Category</w:t>
            </w:r>
          </w:p>
        </w:tc>
        <w:tc>
          <w:tcPr>
            <w:tcW w:w="2200" w:type="dxa"/>
            <w:shd w:val="clear" w:color="000000" w:fill="C4BD97"/>
            <w:vAlign w:val="center"/>
            <w:hideMark/>
          </w:tcPr>
          <w:p w14:paraId="16CE3DB2" w14:textId="77777777" w:rsidR="00590B74" w:rsidRPr="00B02EDC" w:rsidRDefault="00590B74" w:rsidP="00590B74">
            <w:pPr>
              <w:spacing w:after="0" w:line="240" w:lineRule="auto"/>
              <w:rPr>
                <w:rFonts w:ascii="Arial" w:eastAsia="Times New Roman" w:hAnsi="Arial" w:cs="Arial"/>
                <w:b/>
                <w:bCs/>
                <w:sz w:val="20"/>
                <w:szCs w:val="20"/>
              </w:rPr>
            </w:pPr>
            <w:r w:rsidRPr="00B02EDC">
              <w:rPr>
                <w:rFonts w:ascii="Arial" w:eastAsia="Times New Roman" w:hAnsi="Arial" w:cs="Arial"/>
                <w:b/>
                <w:bCs/>
                <w:sz w:val="20"/>
                <w:szCs w:val="20"/>
              </w:rPr>
              <w:t>Question</w:t>
            </w:r>
          </w:p>
        </w:tc>
        <w:tc>
          <w:tcPr>
            <w:tcW w:w="5811" w:type="dxa"/>
            <w:shd w:val="clear" w:color="000000" w:fill="C4BD97"/>
            <w:vAlign w:val="center"/>
            <w:hideMark/>
          </w:tcPr>
          <w:p w14:paraId="01219907" w14:textId="77777777" w:rsidR="00590B74" w:rsidRPr="00B02EDC" w:rsidRDefault="00590B74" w:rsidP="00590B74">
            <w:pPr>
              <w:spacing w:after="0" w:line="240" w:lineRule="auto"/>
              <w:rPr>
                <w:rFonts w:ascii="Arial" w:eastAsia="Times New Roman" w:hAnsi="Arial" w:cs="Arial"/>
                <w:b/>
                <w:bCs/>
                <w:sz w:val="20"/>
                <w:szCs w:val="20"/>
              </w:rPr>
            </w:pPr>
            <w:r w:rsidRPr="00B02EDC">
              <w:rPr>
                <w:rFonts w:ascii="Arial" w:eastAsia="Times New Roman" w:hAnsi="Arial" w:cs="Arial"/>
                <w:b/>
                <w:bCs/>
                <w:sz w:val="20"/>
                <w:szCs w:val="20"/>
              </w:rPr>
              <w:t>Answer</w:t>
            </w:r>
          </w:p>
        </w:tc>
      </w:tr>
      <w:tr w:rsidR="00590B74" w:rsidRPr="00B02EDC" w14:paraId="02D77FCB" w14:textId="77777777" w:rsidTr="00175BE5">
        <w:trPr>
          <w:trHeight w:val="367"/>
        </w:trPr>
        <w:tc>
          <w:tcPr>
            <w:tcW w:w="10632" w:type="dxa"/>
            <w:gridSpan w:val="4"/>
            <w:shd w:val="clear" w:color="000000" w:fill="DAEEF3"/>
            <w:hideMark/>
          </w:tcPr>
          <w:p w14:paraId="53947EF6" w14:textId="77777777" w:rsidR="00590B74" w:rsidRPr="00B02EDC" w:rsidRDefault="00590B74" w:rsidP="00590B74">
            <w:pPr>
              <w:spacing w:after="0" w:line="240" w:lineRule="auto"/>
              <w:jc w:val="center"/>
              <w:rPr>
                <w:rFonts w:ascii="Arial" w:eastAsia="Times New Roman" w:hAnsi="Arial" w:cs="Arial"/>
                <w:b/>
                <w:bCs/>
                <w:sz w:val="20"/>
                <w:szCs w:val="20"/>
              </w:rPr>
            </w:pPr>
            <w:r w:rsidRPr="00B02EDC">
              <w:rPr>
                <w:rFonts w:ascii="Arial" w:eastAsia="Times New Roman" w:hAnsi="Arial" w:cs="Arial"/>
                <w:b/>
                <w:bCs/>
                <w:sz w:val="20"/>
                <w:szCs w:val="20"/>
              </w:rPr>
              <w:t>Clinical Particulars</w:t>
            </w:r>
          </w:p>
        </w:tc>
      </w:tr>
      <w:tr w:rsidR="00590B74" w:rsidRPr="00B02EDC" w14:paraId="5E7DD10C" w14:textId="77777777" w:rsidTr="00175BE5">
        <w:trPr>
          <w:trHeight w:val="1209"/>
        </w:trPr>
        <w:tc>
          <w:tcPr>
            <w:tcW w:w="887" w:type="dxa"/>
            <w:shd w:val="clear" w:color="auto" w:fill="auto"/>
            <w:hideMark/>
          </w:tcPr>
          <w:p w14:paraId="204E4080" w14:textId="77777777" w:rsidR="00590B74" w:rsidRPr="00B02EDC" w:rsidRDefault="00590B74"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1</w:t>
            </w:r>
          </w:p>
        </w:tc>
        <w:tc>
          <w:tcPr>
            <w:tcW w:w="1734" w:type="dxa"/>
            <w:shd w:val="clear" w:color="auto" w:fill="auto"/>
            <w:hideMark/>
          </w:tcPr>
          <w:p w14:paraId="750D395A"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Use/Indication</w:t>
            </w:r>
          </w:p>
        </w:tc>
        <w:tc>
          <w:tcPr>
            <w:tcW w:w="2200" w:type="dxa"/>
            <w:shd w:val="clear" w:color="auto" w:fill="auto"/>
            <w:hideMark/>
          </w:tcPr>
          <w:p w14:paraId="175E3426"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What is the product indicated for?</w:t>
            </w:r>
          </w:p>
        </w:tc>
        <w:tc>
          <w:tcPr>
            <w:tcW w:w="5811" w:type="dxa"/>
            <w:shd w:val="clear" w:color="auto" w:fill="auto"/>
            <w:hideMark/>
          </w:tcPr>
          <w:p w14:paraId="7B39F398" w14:textId="6E3AF06E" w:rsidR="00D330EE" w:rsidRPr="00B02EDC" w:rsidRDefault="00D330EE" w:rsidP="00392668">
            <w:pPr>
              <w:spacing w:after="0" w:line="240" w:lineRule="auto"/>
              <w:jc w:val="both"/>
              <w:rPr>
                <w:rFonts w:ascii="Arial" w:eastAsia="Times New Roman" w:hAnsi="Arial" w:cs="Arial"/>
                <w:color w:val="000000"/>
                <w:sz w:val="20"/>
                <w:szCs w:val="20"/>
                <w:lang w:val="en-IN" w:eastAsia="en-IN"/>
              </w:rPr>
            </w:pPr>
            <w:r w:rsidRPr="00B02EDC">
              <w:rPr>
                <w:rFonts w:ascii="Arial" w:eastAsia="Times New Roman" w:hAnsi="Arial" w:cs="Arial"/>
                <w:color w:val="000000"/>
                <w:sz w:val="20"/>
                <w:szCs w:val="20"/>
                <w:lang w:val="en-IN" w:eastAsia="en-IN"/>
              </w:rPr>
              <w:t>Plerixafor injection, a hematopoietic stem cell mobilizer, is indicated in combination with granulocyte colony stimulating factor (G-CSF) to mobilize hematopoietic stem cell (HSCs) to the peripheral blood for</w:t>
            </w:r>
            <w:r w:rsidR="00B02EDC">
              <w:rPr>
                <w:rFonts w:ascii="Arial" w:eastAsia="Times New Roman" w:hAnsi="Arial" w:cs="Arial"/>
                <w:color w:val="000000"/>
                <w:sz w:val="20"/>
                <w:szCs w:val="20"/>
                <w:lang w:val="en-IN" w:eastAsia="en-IN"/>
              </w:rPr>
              <w:t xml:space="preserve"> </w:t>
            </w:r>
            <w:r w:rsidRPr="00B02EDC">
              <w:rPr>
                <w:rFonts w:ascii="Arial" w:eastAsia="Times New Roman" w:hAnsi="Arial" w:cs="Arial"/>
                <w:color w:val="000000"/>
                <w:sz w:val="20"/>
                <w:szCs w:val="20"/>
                <w:lang w:val="en-IN" w:eastAsia="en-IN"/>
              </w:rPr>
              <w:t>collection and subsequent autologous transplantation in patients with non-Hodgkin’s lymphoma or multiple myeloma.</w:t>
            </w:r>
          </w:p>
          <w:p w14:paraId="1403526D" w14:textId="086DE6BF" w:rsidR="00D330EE" w:rsidRPr="00B02EDC" w:rsidRDefault="00D330EE" w:rsidP="00392668">
            <w:pPr>
              <w:spacing w:after="0" w:line="240" w:lineRule="auto"/>
              <w:jc w:val="both"/>
              <w:rPr>
                <w:rFonts w:ascii="Arial" w:hAnsi="Arial" w:cs="Arial"/>
                <w:color w:val="000000"/>
                <w:sz w:val="20"/>
                <w:szCs w:val="20"/>
              </w:rPr>
            </w:pPr>
          </w:p>
        </w:tc>
      </w:tr>
      <w:tr w:rsidR="00590B74" w:rsidRPr="00B02EDC" w14:paraId="41BDED5B" w14:textId="77777777" w:rsidTr="00B4321C">
        <w:trPr>
          <w:trHeight w:val="2423"/>
        </w:trPr>
        <w:tc>
          <w:tcPr>
            <w:tcW w:w="887" w:type="dxa"/>
            <w:shd w:val="clear" w:color="auto" w:fill="auto"/>
            <w:hideMark/>
          </w:tcPr>
          <w:p w14:paraId="1BC9B512" w14:textId="77777777" w:rsidR="00590B74" w:rsidRPr="00B02EDC" w:rsidRDefault="00590B74"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2</w:t>
            </w:r>
          </w:p>
        </w:tc>
        <w:tc>
          <w:tcPr>
            <w:tcW w:w="1734" w:type="dxa"/>
            <w:shd w:val="clear" w:color="auto" w:fill="auto"/>
            <w:hideMark/>
          </w:tcPr>
          <w:p w14:paraId="243422BF"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Dosage</w:t>
            </w:r>
          </w:p>
        </w:tc>
        <w:tc>
          <w:tcPr>
            <w:tcW w:w="2200" w:type="dxa"/>
            <w:shd w:val="clear" w:color="auto" w:fill="auto"/>
            <w:hideMark/>
          </w:tcPr>
          <w:p w14:paraId="7F25BD7E" w14:textId="77777777" w:rsidR="00590B74" w:rsidRPr="00B02EDC" w:rsidRDefault="004A294E" w:rsidP="00B62658">
            <w:pPr>
              <w:spacing w:after="240" w:line="240" w:lineRule="auto"/>
              <w:jc w:val="both"/>
              <w:rPr>
                <w:rFonts w:ascii="Arial" w:eastAsia="Times New Roman" w:hAnsi="Arial" w:cs="Arial"/>
                <w:sz w:val="20"/>
                <w:szCs w:val="20"/>
              </w:rPr>
            </w:pPr>
            <w:r w:rsidRPr="00B02EDC">
              <w:rPr>
                <w:rFonts w:ascii="Arial" w:eastAsia="Times New Roman" w:hAnsi="Arial" w:cs="Arial"/>
                <w:sz w:val="20"/>
                <w:szCs w:val="20"/>
              </w:rPr>
              <w:t>What is the</w:t>
            </w:r>
            <w:r w:rsidR="00590B74" w:rsidRPr="00B02EDC">
              <w:rPr>
                <w:rFonts w:ascii="Arial" w:eastAsia="Times New Roman" w:hAnsi="Arial" w:cs="Arial"/>
                <w:sz w:val="20"/>
                <w:szCs w:val="20"/>
              </w:rPr>
              <w:t xml:space="preserve"> recommended dosage?</w:t>
            </w:r>
          </w:p>
        </w:tc>
        <w:tc>
          <w:tcPr>
            <w:tcW w:w="5811" w:type="dxa"/>
            <w:shd w:val="clear" w:color="auto" w:fill="auto"/>
            <w:hideMark/>
          </w:tcPr>
          <w:p w14:paraId="099463A7" w14:textId="77777777" w:rsidR="00A32F11" w:rsidRPr="00A32F11" w:rsidRDefault="00A32F11" w:rsidP="00A32F11">
            <w:pPr>
              <w:spacing w:after="0" w:line="240" w:lineRule="auto"/>
              <w:jc w:val="both"/>
              <w:rPr>
                <w:rFonts w:ascii="Arial" w:hAnsi="Arial" w:cs="Arial"/>
                <w:iCs/>
                <w:color w:val="000000"/>
                <w:sz w:val="20"/>
                <w:szCs w:val="20"/>
              </w:rPr>
            </w:pPr>
            <w:r w:rsidRPr="00A32F11">
              <w:rPr>
                <w:rFonts w:ascii="Arial" w:hAnsi="Arial" w:cs="Arial"/>
                <w:iCs/>
                <w:color w:val="000000"/>
                <w:sz w:val="20"/>
                <w:szCs w:val="20"/>
              </w:rPr>
              <w:t xml:space="preserve">The recommended dose of </w:t>
            </w:r>
            <w:proofErr w:type="spellStart"/>
            <w:r w:rsidRPr="00A32F11">
              <w:rPr>
                <w:rFonts w:ascii="Arial" w:hAnsi="Arial" w:cs="Arial"/>
                <w:iCs/>
                <w:color w:val="000000"/>
                <w:sz w:val="20"/>
                <w:szCs w:val="20"/>
              </w:rPr>
              <w:t>plerixafor</w:t>
            </w:r>
            <w:proofErr w:type="spellEnd"/>
            <w:r w:rsidRPr="00A32F11">
              <w:rPr>
                <w:rFonts w:ascii="Arial" w:hAnsi="Arial" w:cs="Arial"/>
                <w:iCs/>
                <w:color w:val="000000"/>
                <w:sz w:val="20"/>
                <w:szCs w:val="20"/>
              </w:rPr>
              <w:t xml:space="preserve"> injection by subcutaneous injection is based on body weight:</w:t>
            </w:r>
          </w:p>
          <w:p w14:paraId="1CBFA203" w14:textId="77777777" w:rsidR="00A32F11" w:rsidRPr="00A32F11" w:rsidRDefault="00A32F11" w:rsidP="00A32F11">
            <w:pPr>
              <w:spacing w:after="0" w:line="240" w:lineRule="auto"/>
              <w:jc w:val="both"/>
              <w:rPr>
                <w:rFonts w:ascii="Arial" w:hAnsi="Arial" w:cs="Arial"/>
                <w:iCs/>
                <w:color w:val="000000"/>
                <w:sz w:val="20"/>
                <w:szCs w:val="20"/>
              </w:rPr>
            </w:pPr>
          </w:p>
          <w:p w14:paraId="7EB7043C" w14:textId="1592E31C" w:rsidR="00A32F11" w:rsidRPr="00A32F11" w:rsidRDefault="00A32F11" w:rsidP="00A32F11">
            <w:pPr>
              <w:pStyle w:val="ListParagraph"/>
              <w:numPr>
                <w:ilvl w:val="0"/>
                <w:numId w:val="16"/>
              </w:numPr>
              <w:spacing w:after="0" w:line="240" w:lineRule="auto"/>
              <w:jc w:val="both"/>
              <w:rPr>
                <w:rFonts w:ascii="Arial" w:hAnsi="Arial" w:cs="Arial"/>
                <w:iCs/>
                <w:color w:val="000000"/>
                <w:sz w:val="20"/>
                <w:szCs w:val="20"/>
              </w:rPr>
            </w:pPr>
            <w:r w:rsidRPr="00A32F11">
              <w:rPr>
                <w:rFonts w:ascii="Arial" w:hAnsi="Arial" w:cs="Arial"/>
                <w:iCs/>
                <w:color w:val="000000"/>
                <w:sz w:val="20"/>
                <w:szCs w:val="20"/>
              </w:rPr>
              <w:t xml:space="preserve">20 mg fixed dose or 0.24 mg/kg of body weight for patients weighing less than or equal to 83 kg. </w:t>
            </w:r>
          </w:p>
          <w:p w14:paraId="3F1F7081" w14:textId="77777777" w:rsidR="00A32F11" w:rsidRPr="00A32F11" w:rsidRDefault="00A32F11" w:rsidP="00A32F11">
            <w:pPr>
              <w:spacing w:after="0" w:line="240" w:lineRule="auto"/>
              <w:jc w:val="both"/>
              <w:rPr>
                <w:rFonts w:ascii="Arial" w:hAnsi="Arial" w:cs="Arial"/>
                <w:iCs/>
                <w:color w:val="000000"/>
                <w:sz w:val="20"/>
                <w:szCs w:val="20"/>
              </w:rPr>
            </w:pPr>
          </w:p>
          <w:p w14:paraId="1C5FB68A" w14:textId="4B985070" w:rsidR="007B1912" w:rsidRPr="00A32F11" w:rsidRDefault="00A32F11" w:rsidP="00A32F11">
            <w:pPr>
              <w:pStyle w:val="ListParagraph"/>
              <w:numPr>
                <w:ilvl w:val="0"/>
                <w:numId w:val="16"/>
              </w:numPr>
              <w:spacing w:after="0" w:line="240" w:lineRule="auto"/>
              <w:jc w:val="both"/>
              <w:rPr>
                <w:rFonts w:ascii="Arial" w:hAnsi="Arial" w:cs="Arial"/>
                <w:iCs/>
                <w:color w:val="000000"/>
                <w:sz w:val="20"/>
                <w:szCs w:val="20"/>
              </w:rPr>
            </w:pPr>
            <w:r w:rsidRPr="00A32F11">
              <w:rPr>
                <w:rFonts w:ascii="Arial" w:hAnsi="Arial" w:cs="Arial"/>
                <w:iCs/>
                <w:color w:val="000000"/>
                <w:sz w:val="20"/>
                <w:szCs w:val="20"/>
              </w:rPr>
              <w:t>0.24 mg/kg of body weight for patients weighing greater than 83 kg</w:t>
            </w:r>
          </w:p>
          <w:p w14:paraId="60065470" w14:textId="21851869" w:rsidR="00A32F11" w:rsidRDefault="00A32F11" w:rsidP="00A32F11">
            <w:pPr>
              <w:spacing w:after="0" w:line="240" w:lineRule="auto"/>
              <w:jc w:val="both"/>
              <w:rPr>
                <w:rFonts w:ascii="Arial" w:hAnsi="Arial" w:cs="Arial"/>
                <w:iCs/>
                <w:color w:val="000000"/>
                <w:sz w:val="20"/>
                <w:szCs w:val="20"/>
              </w:rPr>
            </w:pPr>
          </w:p>
          <w:p w14:paraId="0A063855" w14:textId="77777777" w:rsidR="00A32F11" w:rsidRPr="00B02EDC" w:rsidRDefault="00A32F11" w:rsidP="00A32F11">
            <w:pPr>
              <w:spacing w:after="0" w:line="240" w:lineRule="auto"/>
              <w:jc w:val="both"/>
              <w:rPr>
                <w:rFonts w:ascii="Arial" w:hAnsi="Arial" w:cs="Arial"/>
                <w:iCs/>
                <w:color w:val="000000"/>
                <w:sz w:val="20"/>
                <w:szCs w:val="20"/>
              </w:rPr>
            </w:pPr>
          </w:p>
          <w:p w14:paraId="59C6FBFD" w14:textId="131FF329" w:rsidR="001822EF" w:rsidRPr="00B02EDC" w:rsidRDefault="007B1912" w:rsidP="00B4321C">
            <w:pPr>
              <w:spacing w:after="0" w:line="240" w:lineRule="auto"/>
              <w:jc w:val="both"/>
              <w:rPr>
                <w:rFonts w:ascii="Arial" w:hAnsi="Arial" w:cs="Arial"/>
                <w:i/>
                <w:iCs/>
                <w:color w:val="000000"/>
                <w:sz w:val="20"/>
                <w:szCs w:val="20"/>
              </w:rPr>
            </w:pPr>
            <w:r w:rsidRPr="00B02EDC">
              <w:rPr>
                <w:rFonts w:ascii="Arial" w:eastAsia="Times New Roman" w:hAnsi="Arial" w:cs="Arial"/>
                <w:b/>
                <w:sz w:val="20"/>
                <w:szCs w:val="20"/>
              </w:rPr>
              <w:t xml:space="preserve"> </w:t>
            </w:r>
            <w:r w:rsidR="00441299" w:rsidRPr="00B02EDC">
              <w:rPr>
                <w:rFonts w:ascii="Arial" w:eastAsia="Times New Roman" w:hAnsi="Arial" w:cs="Arial"/>
                <w:b/>
                <w:i/>
                <w:sz w:val="20"/>
                <w:szCs w:val="20"/>
              </w:rPr>
              <w:t>(</w:t>
            </w:r>
            <w:r w:rsidR="00B4321C">
              <w:rPr>
                <w:rFonts w:ascii="Arial" w:eastAsia="Times New Roman" w:hAnsi="Arial" w:cs="Arial"/>
                <w:b/>
                <w:i/>
                <w:sz w:val="20"/>
                <w:szCs w:val="20"/>
              </w:rPr>
              <w:t>For complete</w:t>
            </w:r>
            <w:r w:rsidR="00441299" w:rsidRPr="00B02EDC">
              <w:rPr>
                <w:rFonts w:ascii="Arial" w:eastAsia="Times New Roman" w:hAnsi="Arial" w:cs="Arial"/>
                <w:b/>
                <w:i/>
                <w:sz w:val="20"/>
                <w:szCs w:val="20"/>
              </w:rPr>
              <w:t xml:space="preserve">, </w:t>
            </w:r>
            <w:r w:rsidR="00B4321C">
              <w:rPr>
                <w:rFonts w:ascii="Arial" w:eastAsia="Times New Roman" w:hAnsi="Arial" w:cs="Arial"/>
                <w:b/>
                <w:i/>
                <w:sz w:val="20"/>
                <w:szCs w:val="20"/>
              </w:rPr>
              <w:t xml:space="preserve">please </w:t>
            </w:r>
            <w:r w:rsidR="00441299" w:rsidRPr="00B02EDC">
              <w:rPr>
                <w:rFonts w:ascii="Arial" w:eastAsia="Times New Roman" w:hAnsi="Arial" w:cs="Arial"/>
                <w:b/>
                <w:i/>
                <w:sz w:val="20"/>
                <w:szCs w:val="20"/>
              </w:rPr>
              <w:t>refer prescribing information</w:t>
            </w:r>
            <w:r w:rsidR="00441299" w:rsidRPr="00B02EDC">
              <w:rPr>
                <w:rFonts w:ascii="Arial" w:eastAsia="Times New Roman" w:hAnsi="Arial" w:cs="Arial"/>
                <w:i/>
                <w:sz w:val="20"/>
                <w:szCs w:val="20"/>
              </w:rPr>
              <w:t>)</w:t>
            </w:r>
          </w:p>
        </w:tc>
      </w:tr>
      <w:tr w:rsidR="00590B74" w:rsidRPr="00B02EDC" w14:paraId="30668934" w14:textId="77777777" w:rsidTr="00175BE5">
        <w:trPr>
          <w:trHeight w:val="430"/>
        </w:trPr>
        <w:tc>
          <w:tcPr>
            <w:tcW w:w="887" w:type="dxa"/>
            <w:shd w:val="clear" w:color="auto" w:fill="auto"/>
            <w:hideMark/>
          </w:tcPr>
          <w:p w14:paraId="2C12B71C" w14:textId="3880E3CD" w:rsidR="00590B74" w:rsidRPr="00B02EDC" w:rsidRDefault="00A3234A"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3</w:t>
            </w:r>
          </w:p>
        </w:tc>
        <w:tc>
          <w:tcPr>
            <w:tcW w:w="1734" w:type="dxa"/>
            <w:shd w:val="clear" w:color="auto" w:fill="auto"/>
            <w:hideMark/>
          </w:tcPr>
          <w:p w14:paraId="65076A63" w14:textId="77777777" w:rsidR="00FE77F8" w:rsidRPr="00B02EDC" w:rsidRDefault="00FE77F8" w:rsidP="00FE77F8">
            <w:pPr>
              <w:spacing w:after="0" w:line="240" w:lineRule="auto"/>
              <w:rPr>
                <w:rFonts w:ascii="Arial" w:eastAsia="Times New Roman" w:hAnsi="Arial" w:cs="Arial"/>
                <w:sz w:val="20"/>
                <w:szCs w:val="20"/>
              </w:rPr>
            </w:pPr>
            <w:r w:rsidRPr="00B02EDC">
              <w:rPr>
                <w:rFonts w:ascii="Arial" w:eastAsia="Times New Roman" w:hAnsi="Arial" w:cs="Arial"/>
                <w:sz w:val="20"/>
                <w:szCs w:val="20"/>
              </w:rPr>
              <w:t>A</w:t>
            </w:r>
            <w:r w:rsidR="00590B74" w:rsidRPr="00B02EDC">
              <w:rPr>
                <w:rFonts w:ascii="Arial" w:eastAsia="Times New Roman" w:hAnsi="Arial" w:cs="Arial"/>
                <w:sz w:val="20"/>
                <w:szCs w:val="20"/>
              </w:rPr>
              <w:t>dmi</w:t>
            </w:r>
            <w:r w:rsidRPr="00B02EDC">
              <w:rPr>
                <w:rFonts w:ascii="Arial" w:eastAsia="Times New Roman" w:hAnsi="Arial" w:cs="Arial"/>
                <w:sz w:val="20"/>
                <w:szCs w:val="20"/>
              </w:rPr>
              <w:t>n</w:t>
            </w:r>
            <w:r w:rsidR="00590B74" w:rsidRPr="00B02EDC">
              <w:rPr>
                <w:rFonts w:ascii="Arial" w:eastAsia="Times New Roman" w:hAnsi="Arial" w:cs="Arial"/>
                <w:sz w:val="20"/>
                <w:szCs w:val="20"/>
              </w:rPr>
              <w:t>istration</w:t>
            </w:r>
          </w:p>
        </w:tc>
        <w:tc>
          <w:tcPr>
            <w:tcW w:w="2200" w:type="dxa"/>
            <w:shd w:val="clear" w:color="auto" w:fill="auto"/>
            <w:hideMark/>
          </w:tcPr>
          <w:p w14:paraId="68894129" w14:textId="77777777" w:rsidR="00590B74" w:rsidRPr="00B02EDC" w:rsidRDefault="00590B74"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Use in Pediatric Population</w:t>
            </w:r>
          </w:p>
        </w:tc>
        <w:tc>
          <w:tcPr>
            <w:tcW w:w="5811" w:type="dxa"/>
            <w:shd w:val="clear" w:color="auto" w:fill="auto"/>
            <w:hideMark/>
          </w:tcPr>
          <w:p w14:paraId="7495C2FE" w14:textId="2F4127BE" w:rsidR="00FE77F8" w:rsidRPr="00B02EDC" w:rsidRDefault="00B82730" w:rsidP="00B82730">
            <w:pPr>
              <w:spacing w:after="0" w:line="240" w:lineRule="auto"/>
              <w:jc w:val="both"/>
              <w:rPr>
                <w:rFonts w:ascii="Arial" w:hAnsi="Arial" w:cs="Arial"/>
                <w:color w:val="000000"/>
                <w:sz w:val="20"/>
                <w:szCs w:val="20"/>
                <w:shd w:val="clear" w:color="auto" w:fill="FFFFFF"/>
              </w:rPr>
            </w:pPr>
            <w:r w:rsidRPr="00B02EDC">
              <w:rPr>
                <w:rFonts w:ascii="Arial" w:hAnsi="Arial" w:cs="Arial"/>
                <w:color w:val="000000"/>
                <w:sz w:val="20"/>
                <w:szCs w:val="20"/>
                <w:shd w:val="clear" w:color="auto" w:fill="FFFFFF"/>
              </w:rPr>
              <w:t>The safety and effectiveness of plerixafor have not been established in pediatric patients.</w:t>
            </w:r>
          </w:p>
        </w:tc>
      </w:tr>
      <w:tr w:rsidR="00414265" w:rsidRPr="00B02EDC" w14:paraId="5161DD26" w14:textId="77777777" w:rsidTr="00175BE5">
        <w:trPr>
          <w:trHeight w:val="998"/>
        </w:trPr>
        <w:tc>
          <w:tcPr>
            <w:tcW w:w="887" w:type="dxa"/>
            <w:shd w:val="clear" w:color="auto" w:fill="auto"/>
          </w:tcPr>
          <w:p w14:paraId="68AA5E57" w14:textId="53707316" w:rsidR="00414265" w:rsidRPr="00B02EDC" w:rsidRDefault="00A3234A" w:rsidP="00414265">
            <w:pPr>
              <w:spacing w:after="0" w:line="240" w:lineRule="auto"/>
              <w:rPr>
                <w:rFonts w:ascii="Arial" w:eastAsia="Times New Roman" w:hAnsi="Arial" w:cs="Arial"/>
                <w:sz w:val="20"/>
                <w:szCs w:val="20"/>
              </w:rPr>
            </w:pPr>
            <w:r w:rsidRPr="00B02EDC">
              <w:rPr>
                <w:rFonts w:ascii="Arial" w:eastAsia="Times New Roman" w:hAnsi="Arial" w:cs="Arial"/>
                <w:sz w:val="20"/>
                <w:szCs w:val="20"/>
              </w:rPr>
              <w:t>4</w:t>
            </w:r>
          </w:p>
        </w:tc>
        <w:tc>
          <w:tcPr>
            <w:tcW w:w="1734" w:type="dxa"/>
            <w:shd w:val="clear" w:color="auto" w:fill="auto"/>
          </w:tcPr>
          <w:p w14:paraId="6AF21043" w14:textId="77777777" w:rsidR="00414265" w:rsidRPr="00B02EDC" w:rsidRDefault="00414265" w:rsidP="00414265">
            <w:pPr>
              <w:spacing w:after="0" w:line="240" w:lineRule="auto"/>
              <w:rPr>
                <w:rFonts w:ascii="Arial" w:eastAsia="Times New Roman" w:hAnsi="Arial" w:cs="Arial"/>
                <w:sz w:val="20"/>
                <w:szCs w:val="20"/>
              </w:rPr>
            </w:pPr>
            <w:r w:rsidRPr="00B02EDC">
              <w:rPr>
                <w:rFonts w:ascii="Arial" w:eastAsia="Times New Roman" w:hAnsi="Arial" w:cs="Arial"/>
                <w:sz w:val="20"/>
                <w:szCs w:val="20"/>
              </w:rPr>
              <w:t>Administration</w:t>
            </w:r>
          </w:p>
        </w:tc>
        <w:tc>
          <w:tcPr>
            <w:tcW w:w="2200" w:type="dxa"/>
            <w:shd w:val="clear" w:color="auto" w:fill="auto"/>
          </w:tcPr>
          <w:p w14:paraId="6366C051" w14:textId="77777777" w:rsidR="00414265" w:rsidRPr="00B02EDC" w:rsidRDefault="00414265" w:rsidP="00414265">
            <w:pPr>
              <w:spacing w:after="0" w:line="240" w:lineRule="auto"/>
              <w:rPr>
                <w:rFonts w:ascii="Arial" w:eastAsia="Times New Roman" w:hAnsi="Arial" w:cs="Arial"/>
                <w:sz w:val="20"/>
                <w:szCs w:val="20"/>
              </w:rPr>
            </w:pPr>
            <w:r w:rsidRPr="00B02EDC">
              <w:rPr>
                <w:rFonts w:ascii="Arial" w:eastAsia="Times New Roman" w:hAnsi="Arial" w:cs="Arial"/>
                <w:sz w:val="20"/>
                <w:szCs w:val="20"/>
              </w:rPr>
              <w:t>Use in Geriatric Population</w:t>
            </w:r>
          </w:p>
        </w:tc>
        <w:tc>
          <w:tcPr>
            <w:tcW w:w="5811" w:type="dxa"/>
            <w:shd w:val="clear" w:color="auto" w:fill="auto"/>
          </w:tcPr>
          <w:p w14:paraId="069DB718" w14:textId="77777777" w:rsidR="006429C9" w:rsidRDefault="006429C9" w:rsidP="00A3234A">
            <w:pPr>
              <w:spacing w:after="0" w:line="240" w:lineRule="auto"/>
              <w:jc w:val="both"/>
              <w:rPr>
                <w:rFonts w:ascii="Arial" w:hAnsi="Arial" w:cs="Arial"/>
                <w:iCs/>
                <w:color w:val="000000"/>
                <w:sz w:val="20"/>
                <w:szCs w:val="20"/>
              </w:rPr>
            </w:pPr>
            <w:r w:rsidRPr="006429C9">
              <w:rPr>
                <w:rFonts w:ascii="Arial" w:hAnsi="Arial" w:cs="Arial"/>
                <w:iCs/>
                <w:color w:val="000000"/>
                <w:sz w:val="20"/>
                <w:szCs w:val="20"/>
              </w:rPr>
              <w:t>No overall differences in safety or effectiveness were observed between these subjects and younger subjects, and other reported clinical experience has not identified differences in responses between the elderly and younger patients, but greater sensitivity of some older individuals cannot be ruled out.</w:t>
            </w:r>
            <w:r>
              <w:rPr>
                <w:rFonts w:ascii="Arial" w:hAnsi="Arial" w:cs="Arial"/>
                <w:iCs/>
                <w:color w:val="000000"/>
                <w:sz w:val="20"/>
                <w:szCs w:val="20"/>
              </w:rPr>
              <w:t xml:space="preserve"> </w:t>
            </w:r>
          </w:p>
          <w:p w14:paraId="08FD9AE5" w14:textId="77777777" w:rsidR="006429C9" w:rsidRDefault="006429C9" w:rsidP="00A3234A">
            <w:pPr>
              <w:spacing w:after="0" w:line="240" w:lineRule="auto"/>
              <w:jc w:val="both"/>
              <w:rPr>
                <w:rFonts w:ascii="Arial" w:hAnsi="Arial" w:cs="Arial"/>
                <w:iCs/>
                <w:color w:val="000000"/>
                <w:sz w:val="20"/>
                <w:szCs w:val="20"/>
              </w:rPr>
            </w:pPr>
          </w:p>
          <w:p w14:paraId="77ECC581" w14:textId="6B85D9B3" w:rsidR="00414265" w:rsidRPr="00B02EDC" w:rsidRDefault="008A314E" w:rsidP="00A3234A">
            <w:pPr>
              <w:spacing w:after="0" w:line="240" w:lineRule="auto"/>
              <w:jc w:val="both"/>
              <w:rPr>
                <w:rFonts w:ascii="Arial" w:hAnsi="Arial" w:cs="Arial"/>
                <w:iCs/>
                <w:color w:val="000000"/>
                <w:sz w:val="20"/>
                <w:szCs w:val="20"/>
              </w:rPr>
            </w:pPr>
            <w:r w:rsidRPr="00B02EDC">
              <w:rPr>
                <w:rFonts w:ascii="Arial" w:hAnsi="Arial" w:cs="Arial"/>
                <w:iCs/>
                <w:color w:val="000000"/>
                <w:sz w:val="20"/>
                <w:szCs w:val="20"/>
              </w:rPr>
              <w:t xml:space="preserve">This drug is known to be </w:t>
            </w:r>
            <w:r w:rsidR="00A3234A" w:rsidRPr="00B02EDC">
              <w:rPr>
                <w:rFonts w:ascii="Arial" w:hAnsi="Arial" w:cs="Arial"/>
                <w:iCs/>
                <w:color w:val="000000"/>
                <w:sz w:val="20"/>
                <w:szCs w:val="20"/>
              </w:rPr>
              <w:t xml:space="preserve">mainly </w:t>
            </w:r>
            <w:r w:rsidRPr="00B02EDC">
              <w:rPr>
                <w:rFonts w:ascii="Arial" w:hAnsi="Arial" w:cs="Arial"/>
                <w:iCs/>
                <w:color w:val="000000"/>
                <w:sz w:val="20"/>
                <w:szCs w:val="20"/>
              </w:rPr>
              <w:t xml:space="preserve">excreted by the kidney, </w:t>
            </w:r>
            <w:r w:rsidR="00A3234A" w:rsidRPr="00B02EDC">
              <w:rPr>
                <w:rFonts w:ascii="Arial" w:hAnsi="Arial" w:cs="Arial"/>
                <w:iCs/>
                <w:color w:val="000000"/>
                <w:sz w:val="20"/>
                <w:szCs w:val="20"/>
              </w:rPr>
              <w:t>no dose modifications are necessary in elderly individuals with normal renal function. In general, care should be taken in dose selection for elderly patients due to the greater frequency of decreased renal function with advanced age. Dosage adjustment in elderly patients with CL less than or equal to 50 mL/min is recommended.</w:t>
            </w:r>
          </w:p>
        </w:tc>
      </w:tr>
      <w:tr w:rsidR="00590B74" w:rsidRPr="00B02EDC" w14:paraId="22F754E1" w14:textId="77777777" w:rsidTr="00175BE5">
        <w:trPr>
          <w:trHeight w:val="984"/>
        </w:trPr>
        <w:tc>
          <w:tcPr>
            <w:tcW w:w="887" w:type="dxa"/>
            <w:shd w:val="clear" w:color="auto" w:fill="auto"/>
            <w:hideMark/>
          </w:tcPr>
          <w:p w14:paraId="2D517B2E" w14:textId="5C8AA299" w:rsidR="00590B74" w:rsidRPr="00B02EDC" w:rsidRDefault="00A3234A"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5</w:t>
            </w:r>
          </w:p>
          <w:p w14:paraId="326DDB3D" w14:textId="1BFBFE24" w:rsidR="00A3234A" w:rsidRPr="00B02EDC" w:rsidRDefault="00A3234A" w:rsidP="00B62658">
            <w:pPr>
              <w:spacing w:after="0" w:line="240" w:lineRule="auto"/>
              <w:rPr>
                <w:rFonts w:ascii="Arial" w:eastAsia="Times New Roman" w:hAnsi="Arial" w:cs="Arial"/>
                <w:sz w:val="20"/>
                <w:szCs w:val="20"/>
              </w:rPr>
            </w:pPr>
          </w:p>
        </w:tc>
        <w:tc>
          <w:tcPr>
            <w:tcW w:w="1734" w:type="dxa"/>
            <w:shd w:val="clear" w:color="auto" w:fill="auto"/>
            <w:hideMark/>
          </w:tcPr>
          <w:p w14:paraId="3B80843C"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 xml:space="preserve">Mechanism </w:t>
            </w:r>
          </w:p>
        </w:tc>
        <w:tc>
          <w:tcPr>
            <w:tcW w:w="2200" w:type="dxa"/>
            <w:shd w:val="clear" w:color="auto" w:fill="auto"/>
            <w:hideMark/>
          </w:tcPr>
          <w:p w14:paraId="4C5DB9CD"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Mechanism of Action</w:t>
            </w:r>
          </w:p>
        </w:tc>
        <w:tc>
          <w:tcPr>
            <w:tcW w:w="5811" w:type="dxa"/>
            <w:shd w:val="clear" w:color="auto" w:fill="auto"/>
            <w:hideMark/>
          </w:tcPr>
          <w:p w14:paraId="352D4778" w14:textId="77777777" w:rsidR="00872972" w:rsidRPr="00B02EDC" w:rsidRDefault="00175BE5" w:rsidP="00175BE5">
            <w:pPr>
              <w:spacing w:after="0" w:line="240" w:lineRule="auto"/>
              <w:jc w:val="both"/>
              <w:rPr>
                <w:rFonts w:ascii="Arial" w:hAnsi="Arial" w:cs="Arial"/>
                <w:iCs/>
                <w:color w:val="000000"/>
                <w:sz w:val="20"/>
                <w:szCs w:val="20"/>
              </w:rPr>
            </w:pPr>
            <w:r w:rsidRPr="00B02EDC">
              <w:rPr>
                <w:rFonts w:ascii="Arial" w:hAnsi="Arial" w:cs="Arial"/>
                <w:iCs/>
                <w:color w:val="000000"/>
                <w:sz w:val="20"/>
                <w:szCs w:val="20"/>
              </w:rPr>
              <w:t xml:space="preserve">Plerixafor is an inhibitor of the CXCR4 chemokine receptor and blocks binding of its cognate ligand, stromal cell-derived factor-1α (SDF-1α). SDF-1α and CXCR4 are recognized to play a role in the trafficking and homing of human hematopoietic stem cells (HSCs) to the marrow compartment. Once in the marrow, stem cell CXCR4 can act to help anchor these cells to the marrow matrix, either directly via SDF-1α or through the induction of other adhesion molecules. </w:t>
            </w:r>
          </w:p>
          <w:p w14:paraId="42ADDCAB" w14:textId="16F0F680" w:rsidR="00175BE5" w:rsidRPr="00B02EDC" w:rsidRDefault="00175BE5" w:rsidP="00175BE5">
            <w:pPr>
              <w:spacing w:after="0" w:line="240" w:lineRule="auto"/>
              <w:jc w:val="both"/>
              <w:rPr>
                <w:rFonts w:ascii="Arial" w:hAnsi="Arial" w:cs="Arial"/>
                <w:iCs/>
                <w:color w:val="000000"/>
                <w:sz w:val="20"/>
                <w:szCs w:val="20"/>
              </w:rPr>
            </w:pPr>
          </w:p>
        </w:tc>
      </w:tr>
      <w:tr w:rsidR="00590B74" w:rsidRPr="00B02EDC" w14:paraId="0602DC03" w14:textId="77777777" w:rsidTr="00175BE5">
        <w:trPr>
          <w:trHeight w:val="308"/>
        </w:trPr>
        <w:tc>
          <w:tcPr>
            <w:tcW w:w="887" w:type="dxa"/>
            <w:shd w:val="clear" w:color="auto" w:fill="auto"/>
            <w:hideMark/>
          </w:tcPr>
          <w:p w14:paraId="057FFD87" w14:textId="77777777" w:rsidR="00590B74" w:rsidRPr="00B02EDC" w:rsidRDefault="001822EF"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lastRenderedPageBreak/>
              <w:t>7</w:t>
            </w:r>
          </w:p>
        </w:tc>
        <w:tc>
          <w:tcPr>
            <w:tcW w:w="1734" w:type="dxa"/>
            <w:shd w:val="clear" w:color="auto" w:fill="auto"/>
            <w:hideMark/>
          </w:tcPr>
          <w:p w14:paraId="1A2DE9F4"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Warning</w:t>
            </w:r>
          </w:p>
        </w:tc>
        <w:tc>
          <w:tcPr>
            <w:tcW w:w="2200" w:type="dxa"/>
            <w:shd w:val="clear" w:color="auto" w:fill="auto"/>
            <w:hideMark/>
          </w:tcPr>
          <w:p w14:paraId="6E74FB2C"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 xml:space="preserve"> Warning</w:t>
            </w:r>
            <w:r w:rsidR="008B41AF" w:rsidRPr="00B02EDC">
              <w:rPr>
                <w:rFonts w:ascii="Arial" w:eastAsia="Times New Roman" w:hAnsi="Arial" w:cs="Arial"/>
                <w:sz w:val="20"/>
                <w:szCs w:val="20"/>
              </w:rPr>
              <w:t>s and precautions</w:t>
            </w:r>
          </w:p>
        </w:tc>
        <w:tc>
          <w:tcPr>
            <w:tcW w:w="5811" w:type="dxa"/>
            <w:shd w:val="clear" w:color="auto" w:fill="auto"/>
            <w:hideMark/>
          </w:tcPr>
          <w:p w14:paraId="00F6DCB8" w14:textId="56FF94C2" w:rsidR="00175BE5" w:rsidRPr="00B02EDC" w:rsidRDefault="00175BE5" w:rsidP="00175BE5">
            <w:pPr>
              <w:pStyle w:val="ListParagraph"/>
              <w:numPr>
                <w:ilvl w:val="0"/>
                <w:numId w:val="13"/>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 xml:space="preserve">Anaphylactic Shock and Serious Hypersensitivity Reactions have occurred. Monitor patients during and after completion of plerixafor administration. </w:t>
            </w:r>
          </w:p>
          <w:p w14:paraId="16CDE2F4" w14:textId="296868CA" w:rsidR="00175BE5" w:rsidRPr="00B02EDC" w:rsidRDefault="00175BE5" w:rsidP="00175BE5">
            <w:pPr>
              <w:pStyle w:val="ListParagraph"/>
              <w:numPr>
                <w:ilvl w:val="0"/>
                <w:numId w:val="8"/>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 xml:space="preserve">Tumor Cell Mobilization in Leukemia Patients: Plerixafor may mobilize leukemic cells and should not be used in leukemia patients. </w:t>
            </w:r>
          </w:p>
          <w:p w14:paraId="504C151E" w14:textId="02264F30" w:rsidR="00175BE5" w:rsidRPr="00B02EDC" w:rsidRDefault="00175BE5" w:rsidP="00175BE5">
            <w:pPr>
              <w:pStyle w:val="ListParagraph"/>
              <w:numPr>
                <w:ilvl w:val="0"/>
                <w:numId w:val="8"/>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 xml:space="preserve">Hematologic Effects: Increased circulating leukocytes and decreased platelet counts have been observed. Monitor blood cell counts and platelet counts during plerixafor use. </w:t>
            </w:r>
          </w:p>
          <w:p w14:paraId="6910B34F" w14:textId="435EC08E" w:rsidR="00175BE5" w:rsidRPr="00B02EDC" w:rsidRDefault="00175BE5" w:rsidP="00175BE5">
            <w:pPr>
              <w:pStyle w:val="ListParagraph"/>
              <w:numPr>
                <w:ilvl w:val="0"/>
                <w:numId w:val="8"/>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 xml:space="preserve">Potential for Tumor Cell Mobilization: Tumor cells may be released from marrow during HSC mobilization with plerixafor and G-CSF. Effect of reinfusion of tumor cells is unknown. </w:t>
            </w:r>
          </w:p>
          <w:p w14:paraId="40BBC720" w14:textId="77777777" w:rsidR="00175BE5" w:rsidRPr="00B02EDC" w:rsidRDefault="00175BE5" w:rsidP="00175BE5">
            <w:pPr>
              <w:pStyle w:val="ListParagraph"/>
              <w:numPr>
                <w:ilvl w:val="0"/>
                <w:numId w:val="8"/>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Splenic Rupture: Evaluate patients who report left upper abdominal and/or scapular or shoulder pain.</w:t>
            </w:r>
          </w:p>
          <w:p w14:paraId="7B2999EC" w14:textId="02933819" w:rsidR="001B66DC" w:rsidRPr="00B02EDC" w:rsidRDefault="00175BE5" w:rsidP="00175BE5">
            <w:pPr>
              <w:pStyle w:val="ListParagraph"/>
              <w:numPr>
                <w:ilvl w:val="0"/>
                <w:numId w:val="8"/>
              </w:numPr>
              <w:spacing w:after="0" w:line="240" w:lineRule="auto"/>
              <w:jc w:val="both"/>
              <w:rPr>
                <w:rFonts w:ascii="Arial" w:hAnsi="Arial" w:cs="Arial"/>
                <w:bCs/>
                <w:color w:val="000000"/>
                <w:sz w:val="20"/>
                <w:szCs w:val="20"/>
              </w:rPr>
            </w:pPr>
            <w:r w:rsidRPr="00B02EDC">
              <w:rPr>
                <w:rFonts w:ascii="Arial" w:hAnsi="Arial" w:cs="Arial"/>
                <w:bCs/>
                <w:color w:val="000000"/>
                <w:sz w:val="20"/>
                <w:szCs w:val="20"/>
              </w:rPr>
              <w:t>Embryo-Fetal Toxicity: Can cause fetal harm. Advise women not to become pregnant when taking plerixafor</w:t>
            </w:r>
          </w:p>
        </w:tc>
      </w:tr>
      <w:tr w:rsidR="00590B74" w:rsidRPr="00B02EDC" w14:paraId="2403FB31" w14:textId="77777777" w:rsidTr="00175BE5">
        <w:trPr>
          <w:trHeight w:val="548"/>
        </w:trPr>
        <w:tc>
          <w:tcPr>
            <w:tcW w:w="887" w:type="dxa"/>
            <w:shd w:val="clear" w:color="auto" w:fill="auto"/>
            <w:hideMark/>
          </w:tcPr>
          <w:p w14:paraId="36BF1A82" w14:textId="77777777" w:rsidR="00590B74" w:rsidRPr="00B02EDC" w:rsidRDefault="001822EF"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8</w:t>
            </w:r>
          </w:p>
        </w:tc>
        <w:tc>
          <w:tcPr>
            <w:tcW w:w="1734" w:type="dxa"/>
            <w:shd w:val="clear" w:color="auto" w:fill="auto"/>
            <w:hideMark/>
          </w:tcPr>
          <w:p w14:paraId="5C68C8A3"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Lactation</w:t>
            </w:r>
          </w:p>
        </w:tc>
        <w:tc>
          <w:tcPr>
            <w:tcW w:w="2200" w:type="dxa"/>
            <w:shd w:val="clear" w:color="auto" w:fill="auto"/>
            <w:hideMark/>
          </w:tcPr>
          <w:p w14:paraId="3AE60622"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Use in Lactation</w:t>
            </w:r>
          </w:p>
        </w:tc>
        <w:tc>
          <w:tcPr>
            <w:tcW w:w="5811" w:type="dxa"/>
            <w:shd w:val="clear" w:color="auto" w:fill="auto"/>
            <w:hideMark/>
          </w:tcPr>
          <w:p w14:paraId="258615ED" w14:textId="5489B33C" w:rsidR="00590B74" w:rsidRPr="00B02EDC" w:rsidRDefault="009F20FA" w:rsidP="009F20FA">
            <w:pPr>
              <w:spacing w:after="0" w:line="240" w:lineRule="auto"/>
              <w:jc w:val="both"/>
              <w:rPr>
                <w:rFonts w:ascii="Arial" w:hAnsi="Arial" w:cs="Arial"/>
                <w:color w:val="000000"/>
                <w:sz w:val="20"/>
                <w:szCs w:val="20"/>
              </w:rPr>
            </w:pPr>
            <w:r w:rsidRPr="00B02EDC">
              <w:rPr>
                <w:rFonts w:ascii="Arial" w:hAnsi="Arial" w:cs="Arial"/>
                <w:color w:val="000000"/>
                <w:sz w:val="20"/>
                <w:szCs w:val="20"/>
              </w:rPr>
              <w:t>There are no data on the presence of plerixafor in human milk, the effect on the breastfed child, or the effect on milk production. Because of the potential serious adverse reactions in the breastfed child, advise females that breastfeeding is not recommended during treatment with plerixafor and for one week after the final dose.</w:t>
            </w:r>
          </w:p>
        </w:tc>
      </w:tr>
      <w:tr w:rsidR="00590B74" w:rsidRPr="00B02EDC" w14:paraId="4F790158" w14:textId="77777777" w:rsidTr="00EB28B0">
        <w:trPr>
          <w:trHeight w:val="826"/>
        </w:trPr>
        <w:tc>
          <w:tcPr>
            <w:tcW w:w="887" w:type="dxa"/>
            <w:shd w:val="clear" w:color="auto" w:fill="auto"/>
            <w:hideMark/>
          </w:tcPr>
          <w:p w14:paraId="47C85553" w14:textId="77777777" w:rsidR="00590B74" w:rsidRPr="00B02EDC" w:rsidRDefault="001822EF" w:rsidP="00B62658">
            <w:pPr>
              <w:spacing w:after="0" w:line="240" w:lineRule="auto"/>
              <w:rPr>
                <w:rFonts w:ascii="Arial" w:eastAsia="Times New Roman" w:hAnsi="Arial" w:cs="Arial"/>
                <w:sz w:val="20"/>
                <w:szCs w:val="20"/>
              </w:rPr>
            </w:pPr>
            <w:r w:rsidRPr="00B02EDC">
              <w:rPr>
                <w:rFonts w:ascii="Arial" w:eastAsia="Times New Roman" w:hAnsi="Arial" w:cs="Arial"/>
                <w:sz w:val="20"/>
                <w:szCs w:val="20"/>
              </w:rPr>
              <w:t>9</w:t>
            </w:r>
          </w:p>
        </w:tc>
        <w:tc>
          <w:tcPr>
            <w:tcW w:w="1734" w:type="dxa"/>
            <w:shd w:val="clear" w:color="auto" w:fill="auto"/>
            <w:hideMark/>
          </w:tcPr>
          <w:p w14:paraId="6B7E38C7"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Pregnancy</w:t>
            </w:r>
          </w:p>
        </w:tc>
        <w:tc>
          <w:tcPr>
            <w:tcW w:w="2200" w:type="dxa"/>
            <w:shd w:val="clear" w:color="auto" w:fill="auto"/>
            <w:hideMark/>
          </w:tcPr>
          <w:p w14:paraId="64550C26"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Use in Pregnancy</w:t>
            </w:r>
          </w:p>
        </w:tc>
        <w:tc>
          <w:tcPr>
            <w:tcW w:w="5811" w:type="dxa"/>
            <w:shd w:val="clear" w:color="auto" w:fill="auto"/>
            <w:hideMark/>
          </w:tcPr>
          <w:p w14:paraId="6535411A" w14:textId="7A5C59A5" w:rsidR="003F4C3A" w:rsidRDefault="003F4C3A" w:rsidP="003F4C3A">
            <w:pPr>
              <w:spacing w:after="0" w:line="240" w:lineRule="auto"/>
              <w:jc w:val="both"/>
              <w:rPr>
                <w:rFonts w:ascii="Arial" w:hAnsi="Arial" w:cs="Arial"/>
                <w:color w:val="000000"/>
                <w:sz w:val="20"/>
                <w:szCs w:val="20"/>
              </w:rPr>
            </w:pPr>
            <w:r w:rsidRPr="00B02EDC">
              <w:rPr>
                <w:rFonts w:ascii="Arial" w:hAnsi="Arial" w:cs="Arial"/>
                <w:color w:val="000000"/>
                <w:sz w:val="20"/>
                <w:szCs w:val="20"/>
              </w:rPr>
              <w:t>Advise pregnant women of the potential risk to the fetus.</w:t>
            </w:r>
          </w:p>
          <w:p w14:paraId="43E80D6C" w14:textId="77777777" w:rsidR="00661A70" w:rsidRPr="00B02EDC" w:rsidRDefault="00661A70" w:rsidP="003F4C3A">
            <w:pPr>
              <w:spacing w:after="0" w:line="240" w:lineRule="auto"/>
              <w:jc w:val="both"/>
              <w:rPr>
                <w:rFonts w:ascii="Arial" w:hAnsi="Arial" w:cs="Arial"/>
                <w:color w:val="000000"/>
                <w:sz w:val="20"/>
                <w:szCs w:val="20"/>
              </w:rPr>
            </w:pPr>
          </w:p>
          <w:p w14:paraId="748939BD" w14:textId="418FE151" w:rsidR="007D56AF" w:rsidRPr="00B02EDC" w:rsidRDefault="003F4C3A" w:rsidP="003F4C3A">
            <w:pPr>
              <w:spacing w:after="0" w:line="240" w:lineRule="auto"/>
              <w:jc w:val="both"/>
              <w:rPr>
                <w:rFonts w:ascii="Arial" w:hAnsi="Arial" w:cs="Arial"/>
                <w:color w:val="000000"/>
                <w:sz w:val="20"/>
                <w:szCs w:val="20"/>
              </w:rPr>
            </w:pPr>
            <w:r w:rsidRPr="00B02EDC">
              <w:rPr>
                <w:rFonts w:ascii="Arial" w:hAnsi="Arial" w:cs="Arial"/>
                <w:color w:val="000000"/>
                <w:sz w:val="20"/>
                <w:szCs w:val="20"/>
              </w:rPr>
              <w:t>Advise women of reproductive potential to avoid becoming pregnant while receiving</w:t>
            </w:r>
            <w:r w:rsidR="00EB28B0" w:rsidRPr="00B02EDC">
              <w:rPr>
                <w:rFonts w:ascii="Arial" w:hAnsi="Arial" w:cs="Arial"/>
                <w:color w:val="000000"/>
                <w:sz w:val="20"/>
                <w:szCs w:val="20"/>
              </w:rPr>
              <w:t xml:space="preserve"> </w:t>
            </w:r>
            <w:r w:rsidRPr="00B02EDC">
              <w:rPr>
                <w:rFonts w:ascii="Arial" w:hAnsi="Arial" w:cs="Arial"/>
                <w:color w:val="000000"/>
                <w:sz w:val="20"/>
                <w:szCs w:val="20"/>
              </w:rPr>
              <w:t>treatment with plerixafor</w:t>
            </w:r>
            <w:r w:rsidR="00EB28B0" w:rsidRPr="00B02EDC">
              <w:rPr>
                <w:rFonts w:ascii="Arial" w:hAnsi="Arial" w:cs="Arial"/>
                <w:color w:val="000000"/>
                <w:sz w:val="20"/>
                <w:szCs w:val="20"/>
              </w:rPr>
              <w:t>.</w:t>
            </w:r>
          </w:p>
        </w:tc>
      </w:tr>
      <w:tr w:rsidR="00590B74" w:rsidRPr="00B02EDC" w14:paraId="4FDA9BD0" w14:textId="77777777" w:rsidTr="00EB28B0">
        <w:trPr>
          <w:trHeight w:val="568"/>
        </w:trPr>
        <w:tc>
          <w:tcPr>
            <w:tcW w:w="887" w:type="dxa"/>
            <w:shd w:val="clear" w:color="auto" w:fill="auto"/>
            <w:hideMark/>
          </w:tcPr>
          <w:p w14:paraId="70356635" w14:textId="77777777" w:rsidR="00590B74" w:rsidRPr="00B02EDC" w:rsidRDefault="001822EF"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10</w:t>
            </w:r>
          </w:p>
        </w:tc>
        <w:tc>
          <w:tcPr>
            <w:tcW w:w="1734" w:type="dxa"/>
            <w:shd w:val="clear" w:color="auto" w:fill="auto"/>
            <w:hideMark/>
          </w:tcPr>
          <w:p w14:paraId="4B9EE5E8"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Storage</w:t>
            </w:r>
          </w:p>
        </w:tc>
        <w:tc>
          <w:tcPr>
            <w:tcW w:w="2200" w:type="dxa"/>
            <w:shd w:val="clear" w:color="auto" w:fill="auto"/>
            <w:hideMark/>
          </w:tcPr>
          <w:p w14:paraId="29E6C96D"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What are the storage conditions?</w:t>
            </w:r>
          </w:p>
        </w:tc>
        <w:tc>
          <w:tcPr>
            <w:tcW w:w="5811" w:type="dxa"/>
            <w:shd w:val="clear" w:color="auto" w:fill="auto"/>
            <w:hideMark/>
          </w:tcPr>
          <w:p w14:paraId="16B8EFF7" w14:textId="301C587B" w:rsidR="00397997" w:rsidRPr="00B02EDC" w:rsidRDefault="00EB28B0" w:rsidP="00EB28B0">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 xml:space="preserve">Store at 25°C (77°F); excursions permitted to 15°C to 30°C (59°F to 86°F). </w:t>
            </w:r>
          </w:p>
        </w:tc>
      </w:tr>
      <w:tr w:rsidR="00590B74" w:rsidRPr="00B02EDC" w14:paraId="23123F16" w14:textId="77777777" w:rsidTr="00175BE5">
        <w:trPr>
          <w:trHeight w:val="192"/>
        </w:trPr>
        <w:tc>
          <w:tcPr>
            <w:tcW w:w="887" w:type="dxa"/>
            <w:shd w:val="clear" w:color="auto" w:fill="auto"/>
            <w:hideMark/>
          </w:tcPr>
          <w:p w14:paraId="1098668A" w14:textId="77777777" w:rsidR="00590B74" w:rsidRPr="00B02EDC" w:rsidRDefault="001822EF"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11</w:t>
            </w:r>
          </w:p>
        </w:tc>
        <w:tc>
          <w:tcPr>
            <w:tcW w:w="1734" w:type="dxa"/>
            <w:shd w:val="clear" w:color="auto" w:fill="auto"/>
            <w:hideMark/>
          </w:tcPr>
          <w:p w14:paraId="41A265CB"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Dispensing</w:t>
            </w:r>
          </w:p>
        </w:tc>
        <w:tc>
          <w:tcPr>
            <w:tcW w:w="2200" w:type="dxa"/>
            <w:shd w:val="clear" w:color="auto" w:fill="auto"/>
            <w:hideMark/>
          </w:tcPr>
          <w:p w14:paraId="0E27F64A"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How to Dispense?</w:t>
            </w:r>
          </w:p>
        </w:tc>
        <w:tc>
          <w:tcPr>
            <w:tcW w:w="5811" w:type="dxa"/>
            <w:shd w:val="clear" w:color="auto" w:fill="auto"/>
            <w:hideMark/>
          </w:tcPr>
          <w:p w14:paraId="2E202AAF" w14:textId="77777777" w:rsidR="00590B74" w:rsidRPr="00B02EDC" w:rsidRDefault="009A01F9"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As prescribed by physician.</w:t>
            </w:r>
          </w:p>
        </w:tc>
      </w:tr>
      <w:tr w:rsidR="00590B74" w:rsidRPr="00B02EDC" w14:paraId="7D10FE04" w14:textId="77777777" w:rsidTr="00175BE5">
        <w:trPr>
          <w:trHeight w:val="665"/>
        </w:trPr>
        <w:tc>
          <w:tcPr>
            <w:tcW w:w="887" w:type="dxa"/>
            <w:shd w:val="clear" w:color="auto" w:fill="auto"/>
            <w:hideMark/>
          </w:tcPr>
          <w:p w14:paraId="0E0AFBB9" w14:textId="77777777" w:rsidR="00590B74" w:rsidRPr="00B02EDC" w:rsidRDefault="001822EF"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12</w:t>
            </w:r>
          </w:p>
        </w:tc>
        <w:tc>
          <w:tcPr>
            <w:tcW w:w="1734" w:type="dxa"/>
            <w:shd w:val="clear" w:color="auto" w:fill="auto"/>
            <w:hideMark/>
          </w:tcPr>
          <w:p w14:paraId="56679BAF"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Contraindication</w:t>
            </w:r>
          </w:p>
        </w:tc>
        <w:tc>
          <w:tcPr>
            <w:tcW w:w="2200" w:type="dxa"/>
            <w:shd w:val="clear" w:color="auto" w:fill="auto"/>
            <w:hideMark/>
          </w:tcPr>
          <w:p w14:paraId="5FCC5A3F" w14:textId="77777777" w:rsidR="00590B74" w:rsidRPr="00B02EDC" w:rsidRDefault="00590B74" w:rsidP="00B62658">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What are the co</w:t>
            </w:r>
            <w:r w:rsidR="00D445B1" w:rsidRPr="00B02EDC">
              <w:rPr>
                <w:rFonts w:ascii="Arial" w:eastAsia="Times New Roman" w:hAnsi="Arial" w:cs="Arial"/>
                <w:sz w:val="20"/>
                <w:szCs w:val="20"/>
              </w:rPr>
              <w:t>ntraindications of (medication)?</w:t>
            </w:r>
          </w:p>
        </w:tc>
        <w:tc>
          <w:tcPr>
            <w:tcW w:w="5811" w:type="dxa"/>
            <w:shd w:val="clear" w:color="auto" w:fill="auto"/>
            <w:hideMark/>
          </w:tcPr>
          <w:p w14:paraId="3DAEFC47" w14:textId="5841C0B1" w:rsidR="00590B74" w:rsidRPr="00B02EDC" w:rsidRDefault="00EB28B0" w:rsidP="00EB28B0">
            <w:pPr>
              <w:spacing w:after="0" w:line="240" w:lineRule="auto"/>
              <w:jc w:val="both"/>
              <w:rPr>
                <w:rFonts w:ascii="Arial" w:hAnsi="Arial" w:cs="Arial"/>
                <w:sz w:val="20"/>
                <w:szCs w:val="20"/>
              </w:rPr>
            </w:pPr>
            <w:r w:rsidRPr="00B02EDC">
              <w:rPr>
                <w:rFonts w:ascii="Arial" w:hAnsi="Arial" w:cs="Arial"/>
                <w:sz w:val="20"/>
                <w:szCs w:val="20"/>
              </w:rPr>
              <w:t>Plerixafor is contraindicated in patients with a history of hypersensitivity to Plerixafor.</w:t>
            </w:r>
          </w:p>
        </w:tc>
      </w:tr>
      <w:tr w:rsidR="00466EA2" w:rsidRPr="00B02EDC" w14:paraId="4D689D4C" w14:textId="77777777" w:rsidTr="00175BE5">
        <w:trPr>
          <w:trHeight w:val="258"/>
        </w:trPr>
        <w:tc>
          <w:tcPr>
            <w:tcW w:w="10632" w:type="dxa"/>
            <w:gridSpan w:val="4"/>
            <w:shd w:val="clear" w:color="000000" w:fill="DAEEF3"/>
            <w:hideMark/>
          </w:tcPr>
          <w:p w14:paraId="7814B4CA" w14:textId="77777777" w:rsidR="00466EA2" w:rsidRPr="00B02EDC" w:rsidRDefault="00466EA2" w:rsidP="00466EA2">
            <w:pPr>
              <w:spacing w:after="0" w:line="240" w:lineRule="auto"/>
              <w:jc w:val="center"/>
              <w:rPr>
                <w:rFonts w:ascii="Arial" w:eastAsia="Times New Roman" w:hAnsi="Arial" w:cs="Arial"/>
                <w:b/>
                <w:bCs/>
                <w:sz w:val="20"/>
                <w:szCs w:val="20"/>
              </w:rPr>
            </w:pPr>
            <w:r w:rsidRPr="00B02EDC">
              <w:rPr>
                <w:rFonts w:ascii="Arial" w:eastAsia="Times New Roman" w:hAnsi="Arial" w:cs="Arial"/>
                <w:b/>
                <w:bCs/>
                <w:sz w:val="20"/>
                <w:szCs w:val="20"/>
              </w:rPr>
              <w:t>Miscellaneous</w:t>
            </w:r>
          </w:p>
        </w:tc>
      </w:tr>
      <w:tr w:rsidR="00466EA2" w:rsidRPr="00B02EDC" w14:paraId="62DD1795" w14:textId="77777777" w:rsidTr="00175BE5">
        <w:trPr>
          <w:trHeight w:val="438"/>
        </w:trPr>
        <w:tc>
          <w:tcPr>
            <w:tcW w:w="887" w:type="dxa"/>
            <w:shd w:val="clear" w:color="auto" w:fill="auto"/>
            <w:hideMark/>
          </w:tcPr>
          <w:p w14:paraId="41674673" w14:textId="19421E05" w:rsidR="00466EA2" w:rsidRPr="00B02EDC" w:rsidRDefault="00C75FEB"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15</w:t>
            </w:r>
          </w:p>
        </w:tc>
        <w:tc>
          <w:tcPr>
            <w:tcW w:w="1734" w:type="dxa"/>
            <w:shd w:val="clear" w:color="auto" w:fill="auto"/>
            <w:hideMark/>
          </w:tcPr>
          <w:p w14:paraId="32067B73"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Miscellaneous</w:t>
            </w:r>
          </w:p>
        </w:tc>
        <w:tc>
          <w:tcPr>
            <w:tcW w:w="2200" w:type="dxa"/>
            <w:shd w:val="clear" w:color="auto" w:fill="auto"/>
            <w:hideMark/>
          </w:tcPr>
          <w:p w14:paraId="3DBAC42B"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May I know the product availability?</w:t>
            </w:r>
          </w:p>
        </w:tc>
        <w:tc>
          <w:tcPr>
            <w:tcW w:w="5811" w:type="dxa"/>
            <w:shd w:val="clear" w:color="auto" w:fill="auto"/>
            <w:hideMark/>
          </w:tcPr>
          <w:p w14:paraId="410473D9" w14:textId="25264F4F" w:rsidR="00466EA2" w:rsidRPr="00B02EDC" w:rsidRDefault="00466EA2" w:rsidP="00466EA2">
            <w:pPr>
              <w:spacing w:after="0" w:line="240" w:lineRule="auto"/>
              <w:jc w:val="both"/>
              <w:rPr>
                <w:rFonts w:ascii="Arial" w:eastAsia="Times New Roman" w:hAnsi="Arial" w:cs="Arial"/>
                <w:sz w:val="20"/>
                <w:szCs w:val="20"/>
              </w:rPr>
            </w:pPr>
            <w:proofErr w:type="spellStart"/>
            <w:r w:rsidRPr="00B02EDC">
              <w:rPr>
                <w:rFonts w:ascii="Arial" w:eastAsia="Times New Roman" w:hAnsi="Arial" w:cs="Arial"/>
                <w:sz w:val="20"/>
                <w:szCs w:val="20"/>
              </w:rPr>
              <w:t>Novadoz</w:t>
            </w:r>
            <w:proofErr w:type="spellEnd"/>
            <w:r w:rsidRPr="00B02EDC">
              <w:rPr>
                <w:rFonts w:ascii="Arial" w:eastAsia="Times New Roman" w:hAnsi="Arial" w:cs="Arial"/>
                <w:sz w:val="20"/>
                <w:szCs w:val="20"/>
              </w:rPr>
              <w:t xml:space="preserve"> Pharmaceuticals products are only available through pharmacies, wholesalers, and other authorized distributors. See our ADR (authorized distributors of record) page at NovadozPharma.com to learn more about where to find our products.</w:t>
            </w:r>
          </w:p>
        </w:tc>
      </w:tr>
      <w:tr w:rsidR="00466EA2" w:rsidRPr="00B02EDC" w14:paraId="679102D3" w14:textId="77777777" w:rsidTr="00175BE5">
        <w:trPr>
          <w:trHeight w:val="704"/>
        </w:trPr>
        <w:tc>
          <w:tcPr>
            <w:tcW w:w="887" w:type="dxa"/>
            <w:shd w:val="clear" w:color="auto" w:fill="auto"/>
            <w:hideMark/>
          </w:tcPr>
          <w:p w14:paraId="56DEA178" w14:textId="37B50EEF" w:rsidR="00466EA2" w:rsidRPr="00B02EDC" w:rsidRDefault="00C75FEB"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16</w:t>
            </w:r>
          </w:p>
        </w:tc>
        <w:tc>
          <w:tcPr>
            <w:tcW w:w="1734" w:type="dxa"/>
            <w:shd w:val="clear" w:color="auto" w:fill="auto"/>
            <w:hideMark/>
          </w:tcPr>
          <w:p w14:paraId="35E5597A"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Miscellaneous</w:t>
            </w:r>
          </w:p>
        </w:tc>
        <w:tc>
          <w:tcPr>
            <w:tcW w:w="2200" w:type="dxa"/>
            <w:shd w:val="clear" w:color="auto" w:fill="auto"/>
            <w:hideMark/>
          </w:tcPr>
          <w:p w14:paraId="3AA671D7"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 xml:space="preserve">May I know about return, refunds and </w:t>
            </w:r>
            <w:r w:rsidR="00D312A8" w:rsidRPr="00B02EDC">
              <w:rPr>
                <w:rFonts w:ascii="Arial" w:eastAsia="Times New Roman" w:hAnsi="Arial" w:cs="Arial"/>
                <w:sz w:val="20"/>
                <w:szCs w:val="20"/>
              </w:rPr>
              <w:t>reimbursement?</w:t>
            </w:r>
          </w:p>
        </w:tc>
        <w:tc>
          <w:tcPr>
            <w:tcW w:w="5811" w:type="dxa"/>
            <w:shd w:val="clear" w:color="auto" w:fill="auto"/>
            <w:hideMark/>
          </w:tcPr>
          <w:p w14:paraId="1E6A1AC0"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Contact Novadoz Pharmaceuticals Customer Service directly at 908-360-1500</w:t>
            </w:r>
          </w:p>
        </w:tc>
      </w:tr>
      <w:tr w:rsidR="00466EA2" w:rsidRPr="00B02EDC" w14:paraId="5C878519" w14:textId="77777777" w:rsidTr="00175BE5">
        <w:trPr>
          <w:trHeight w:val="881"/>
        </w:trPr>
        <w:tc>
          <w:tcPr>
            <w:tcW w:w="887" w:type="dxa"/>
            <w:shd w:val="clear" w:color="auto" w:fill="auto"/>
            <w:hideMark/>
          </w:tcPr>
          <w:p w14:paraId="41265901" w14:textId="24566803" w:rsidR="00466EA2" w:rsidRPr="00B02EDC" w:rsidRDefault="00C75FEB"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17</w:t>
            </w:r>
          </w:p>
        </w:tc>
        <w:tc>
          <w:tcPr>
            <w:tcW w:w="1734" w:type="dxa"/>
            <w:shd w:val="clear" w:color="auto" w:fill="auto"/>
            <w:hideMark/>
          </w:tcPr>
          <w:p w14:paraId="77315AF8"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Miscellaneous</w:t>
            </w:r>
          </w:p>
        </w:tc>
        <w:tc>
          <w:tcPr>
            <w:tcW w:w="2200" w:type="dxa"/>
            <w:shd w:val="clear" w:color="auto" w:fill="auto"/>
            <w:hideMark/>
          </w:tcPr>
          <w:p w14:paraId="3B7BD39B"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t xml:space="preserve">Do you have any patient's assistance </w:t>
            </w:r>
            <w:r w:rsidR="00D312A8" w:rsidRPr="00B02EDC">
              <w:rPr>
                <w:rFonts w:ascii="Arial" w:eastAsia="Times New Roman" w:hAnsi="Arial" w:cs="Arial"/>
                <w:sz w:val="20"/>
                <w:szCs w:val="20"/>
              </w:rPr>
              <w:t>program?</w:t>
            </w:r>
          </w:p>
        </w:tc>
        <w:tc>
          <w:tcPr>
            <w:tcW w:w="5811" w:type="dxa"/>
            <w:shd w:val="clear" w:color="auto" w:fill="auto"/>
            <w:hideMark/>
          </w:tcPr>
          <w:p w14:paraId="1871B05C"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Novadoz Pharmaceuticals does not offer patient assistance programs at this time.  The company that produces the brand version of your product may or may not offer such a program.  Please check for access &amp; eligibility requirements with that company</w:t>
            </w:r>
          </w:p>
        </w:tc>
      </w:tr>
      <w:tr w:rsidR="00466EA2" w:rsidRPr="00B02EDC" w14:paraId="3E0F18B7" w14:textId="77777777" w:rsidTr="00175BE5">
        <w:trPr>
          <w:trHeight w:val="1350"/>
        </w:trPr>
        <w:tc>
          <w:tcPr>
            <w:tcW w:w="887" w:type="dxa"/>
            <w:shd w:val="clear" w:color="auto" w:fill="auto"/>
            <w:hideMark/>
          </w:tcPr>
          <w:p w14:paraId="5609FB74" w14:textId="315B1D0B" w:rsidR="00466EA2" w:rsidRPr="00B02EDC" w:rsidRDefault="00C75FEB"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18</w:t>
            </w:r>
          </w:p>
        </w:tc>
        <w:tc>
          <w:tcPr>
            <w:tcW w:w="1734" w:type="dxa"/>
            <w:shd w:val="clear" w:color="auto" w:fill="auto"/>
            <w:hideMark/>
          </w:tcPr>
          <w:p w14:paraId="58007625"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Miscellaneous</w:t>
            </w:r>
          </w:p>
        </w:tc>
        <w:tc>
          <w:tcPr>
            <w:tcW w:w="2200" w:type="dxa"/>
            <w:shd w:val="clear" w:color="auto" w:fill="auto"/>
            <w:hideMark/>
          </w:tcPr>
          <w:p w14:paraId="24C13D96"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 xml:space="preserve">Why does my pharmacy, that used to fill your generic formulation of a particular medicine, no longer fills my </w:t>
            </w:r>
            <w:r w:rsidRPr="00B02EDC">
              <w:rPr>
                <w:rFonts w:ascii="Arial" w:eastAsia="Times New Roman" w:hAnsi="Arial" w:cs="Arial"/>
                <w:sz w:val="20"/>
                <w:szCs w:val="20"/>
              </w:rPr>
              <w:lastRenderedPageBreak/>
              <w:t>prescription with Novadoz formulation?</w:t>
            </w:r>
          </w:p>
        </w:tc>
        <w:tc>
          <w:tcPr>
            <w:tcW w:w="5811" w:type="dxa"/>
            <w:shd w:val="clear" w:color="auto" w:fill="auto"/>
            <w:hideMark/>
          </w:tcPr>
          <w:p w14:paraId="24647CA9"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lastRenderedPageBreak/>
              <w:t>Please check with your pharmacy as to why your prescription is not a Novadoz Pharmaceuticals product.  You may refer to NovadozPharma.com ADR (authorized distributor of record) page to learn where to find our products</w:t>
            </w:r>
          </w:p>
        </w:tc>
      </w:tr>
      <w:tr w:rsidR="00466EA2" w:rsidRPr="00B02EDC" w14:paraId="7CCE9C11" w14:textId="77777777" w:rsidTr="00175BE5">
        <w:trPr>
          <w:trHeight w:val="1350"/>
        </w:trPr>
        <w:tc>
          <w:tcPr>
            <w:tcW w:w="887" w:type="dxa"/>
            <w:shd w:val="clear" w:color="auto" w:fill="auto"/>
          </w:tcPr>
          <w:p w14:paraId="6433FC98" w14:textId="6DB18511" w:rsidR="00466EA2" w:rsidRPr="00B02EDC" w:rsidRDefault="00C75FEB"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lastRenderedPageBreak/>
              <w:t>19</w:t>
            </w:r>
          </w:p>
        </w:tc>
        <w:tc>
          <w:tcPr>
            <w:tcW w:w="1734" w:type="dxa"/>
            <w:shd w:val="clear" w:color="auto" w:fill="auto"/>
          </w:tcPr>
          <w:p w14:paraId="396E4470"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Miscellaneous</w:t>
            </w:r>
          </w:p>
        </w:tc>
        <w:tc>
          <w:tcPr>
            <w:tcW w:w="2200" w:type="dxa"/>
            <w:shd w:val="clear" w:color="auto" w:fill="auto"/>
          </w:tcPr>
          <w:p w14:paraId="564441C5" w14:textId="77777777" w:rsidR="00466EA2" w:rsidRPr="00B02EDC" w:rsidRDefault="00466EA2" w:rsidP="00466EA2">
            <w:pPr>
              <w:spacing w:after="0" w:line="240" w:lineRule="auto"/>
              <w:jc w:val="both"/>
              <w:rPr>
                <w:rFonts w:ascii="Arial" w:eastAsia="Times New Roman" w:hAnsi="Arial" w:cs="Arial"/>
                <w:sz w:val="20"/>
                <w:szCs w:val="20"/>
              </w:rPr>
            </w:pPr>
            <w:r w:rsidRPr="00B02EDC">
              <w:rPr>
                <w:rFonts w:ascii="Arial" w:eastAsia="Times New Roman" w:hAnsi="Arial" w:cs="Arial"/>
                <w:sz w:val="20"/>
                <w:szCs w:val="20"/>
              </w:rPr>
              <w:t>May I know where is this product manufactured?</w:t>
            </w:r>
          </w:p>
        </w:tc>
        <w:tc>
          <w:tcPr>
            <w:tcW w:w="5811" w:type="dxa"/>
            <w:shd w:val="clear" w:color="auto" w:fill="auto"/>
          </w:tcPr>
          <w:p w14:paraId="139C0E8B"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b/>
                <w:bCs/>
                <w:sz w:val="20"/>
                <w:szCs w:val="20"/>
              </w:rPr>
              <w:t>Manufactured by</w:t>
            </w:r>
            <w:r w:rsidRPr="00B02EDC">
              <w:rPr>
                <w:rFonts w:ascii="Arial" w:eastAsia="Times New Roman" w:hAnsi="Arial" w:cs="Arial"/>
                <w:sz w:val="20"/>
                <w:szCs w:val="20"/>
              </w:rPr>
              <w:t>:</w:t>
            </w:r>
            <w:r w:rsidRPr="00B02EDC">
              <w:rPr>
                <w:rFonts w:ascii="Arial" w:eastAsia="Times New Roman" w:hAnsi="Arial" w:cs="Arial"/>
                <w:sz w:val="20"/>
                <w:szCs w:val="20"/>
              </w:rPr>
              <w:br/>
            </w:r>
            <w:r w:rsidRPr="0003688B">
              <w:rPr>
                <w:rFonts w:ascii="Arial" w:eastAsia="Times New Roman" w:hAnsi="Arial" w:cs="Arial"/>
                <w:sz w:val="20"/>
                <w:szCs w:val="20"/>
              </w:rPr>
              <w:t>MSN Laboratories Private Limited</w:t>
            </w:r>
            <w:r w:rsidRPr="0003688B">
              <w:rPr>
                <w:rFonts w:ascii="Arial" w:eastAsia="Times New Roman" w:hAnsi="Arial" w:cs="Arial"/>
                <w:sz w:val="20"/>
                <w:szCs w:val="20"/>
              </w:rPr>
              <w:br/>
              <w:t>Telangana – 509 228, INDIA</w:t>
            </w:r>
            <w:bookmarkStart w:id="0" w:name="_GoBack"/>
            <w:bookmarkEnd w:id="0"/>
          </w:p>
          <w:p w14:paraId="64E69428" w14:textId="77777777" w:rsidR="00466EA2" w:rsidRPr="00B02EDC" w:rsidRDefault="00466EA2" w:rsidP="00466EA2">
            <w:pPr>
              <w:spacing w:after="0" w:line="240" w:lineRule="auto"/>
              <w:rPr>
                <w:rFonts w:ascii="Arial" w:eastAsia="Times New Roman" w:hAnsi="Arial" w:cs="Arial"/>
                <w:sz w:val="20"/>
                <w:szCs w:val="20"/>
              </w:rPr>
            </w:pPr>
            <w:r w:rsidRPr="00B02EDC">
              <w:rPr>
                <w:rFonts w:ascii="Arial" w:eastAsia="Times New Roman" w:hAnsi="Arial" w:cs="Arial"/>
                <w:sz w:val="20"/>
                <w:szCs w:val="20"/>
              </w:rPr>
              <w:br/>
            </w:r>
            <w:r w:rsidRPr="00B02EDC">
              <w:rPr>
                <w:rFonts w:ascii="Arial" w:eastAsia="Times New Roman" w:hAnsi="Arial" w:cs="Arial"/>
                <w:b/>
                <w:bCs/>
                <w:sz w:val="20"/>
                <w:szCs w:val="20"/>
              </w:rPr>
              <w:t>Distributed by</w:t>
            </w:r>
            <w:r w:rsidRPr="00B02EDC">
              <w:rPr>
                <w:rFonts w:ascii="Arial" w:eastAsia="Times New Roman" w:hAnsi="Arial" w:cs="Arial"/>
                <w:sz w:val="20"/>
                <w:szCs w:val="20"/>
              </w:rPr>
              <w:t>:</w:t>
            </w:r>
            <w:r w:rsidRPr="00B02EDC">
              <w:rPr>
                <w:rFonts w:ascii="Arial" w:eastAsia="Times New Roman" w:hAnsi="Arial" w:cs="Arial"/>
                <w:sz w:val="20"/>
                <w:szCs w:val="20"/>
              </w:rPr>
              <w:br/>
              <w:t xml:space="preserve">Novadoz Pharmaceuticals LLC </w:t>
            </w:r>
            <w:r w:rsidRPr="00B02EDC">
              <w:rPr>
                <w:rFonts w:ascii="Arial" w:eastAsia="Times New Roman" w:hAnsi="Arial" w:cs="Arial"/>
                <w:sz w:val="20"/>
                <w:szCs w:val="20"/>
              </w:rPr>
              <w:br/>
              <w:t xml:space="preserve">Piscataway, NJ 08854-3714 </w:t>
            </w:r>
          </w:p>
        </w:tc>
      </w:tr>
    </w:tbl>
    <w:p w14:paraId="1D463AB4" w14:textId="77777777" w:rsidR="00473068" w:rsidRPr="00B02EDC" w:rsidRDefault="00473068">
      <w:pPr>
        <w:rPr>
          <w:rFonts w:ascii="Arial" w:hAnsi="Arial" w:cs="Arial"/>
          <w:sz w:val="20"/>
          <w:szCs w:val="20"/>
        </w:rPr>
      </w:pPr>
    </w:p>
    <w:sectPr w:rsidR="00473068" w:rsidRPr="00B02EDC" w:rsidSect="00590B7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5D3BD" w14:textId="77777777" w:rsidR="00771944" w:rsidRDefault="00771944" w:rsidP="00685EA5">
      <w:pPr>
        <w:spacing w:after="0" w:line="240" w:lineRule="auto"/>
      </w:pPr>
      <w:r>
        <w:separator/>
      </w:r>
    </w:p>
  </w:endnote>
  <w:endnote w:type="continuationSeparator" w:id="0">
    <w:p w14:paraId="2C2EFC11" w14:textId="77777777" w:rsidR="00771944" w:rsidRDefault="00771944" w:rsidP="0068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ans-Bold">
    <w:altName w:val="Times New Roman"/>
    <w:panose1 w:val="00000000000000000000"/>
    <w:charset w:val="00"/>
    <w:family w:val="roman"/>
    <w:notTrueType/>
    <w:pitch w:val="default"/>
  </w:font>
  <w:font w:name="DejaVu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2D64" w14:textId="77777777" w:rsidR="00771944" w:rsidRDefault="00771944" w:rsidP="00685EA5">
      <w:pPr>
        <w:spacing w:after="0" w:line="240" w:lineRule="auto"/>
      </w:pPr>
      <w:r>
        <w:separator/>
      </w:r>
    </w:p>
  </w:footnote>
  <w:footnote w:type="continuationSeparator" w:id="0">
    <w:p w14:paraId="3D19DF25" w14:textId="77777777" w:rsidR="00771944" w:rsidRDefault="00771944" w:rsidP="00685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3A2C" w14:textId="77777777" w:rsidR="00B62658" w:rsidRDefault="00B62658">
    <w:pPr>
      <w:pStyle w:val="Header"/>
    </w:pPr>
    <w:r>
      <w:tab/>
    </w:r>
    <w:r>
      <w:tab/>
      <w:t xml:space="preserve">          </w:t>
    </w:r>
    <w:r>
      <w:rPr>
        <w:rFonts w:ascii="Tms Rmn" w:hAnsi="Tms Rmn"/>
        <w:noProof/>
        <w:sz w:val="24"/>
        <w:szCs w:val="24"/>
        <w:lang w:val="en-IN" w:eastAsia="en-IN"/>
      </w:rPr>
      <w:drawing>
        <wp:inline distT="0" distB="0" distL="0" distR="0" wp14:anchorId="3A80B093" wp14:editId="7602C15B">
          <wp:extent cx="2030730" cy="4997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30"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425"/>
    <w:multiLevelType w:val="hybridMultilevel"/>
    <w:tmpl w:val="904081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E01112"/>
    <w:multiLevelType w:val="hybridMultilevel"/>
    <w:tmpl w:val="6FE2B6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5FA1F55"/>
    <w:multiLevelType w:val="hybridMultilevel"/>
    <w:tmpl w:val="86A4C9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ABC29B3"/>
    <w:multiLevelType w:val="hybridMultilevel"/>
    <w:tmpl w:val="EA847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AE85383"/>
    <w:multiLevelType w:val="hybridMultilevel"/>
    <w:tmpl w:val="362827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D665624"/>
    <w:multiLevelType w:val="hybridMultilevel"/>
    <w:tmpl w:val="C018D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FC839CC"/>
    <w:multiLevelType w:val="hybridMultilevel"/>
    <w:tmpl w:val="0930C9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0FD1E9B"/>
    <w:multiLevelType w:val="hybridMultilevel"/>
    <w:tmpl w:val="9FE8F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2B1198"/>
    <w:multiLevelType w:val="hybridMultilevel"/>
    <w:tmpl w:val="41F836E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5CF0C79"/>
    <w:multiLevelType w:val="hybridMultilevel"/>
    <w:tmpl w:val="4FFCF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3FA11CE"/>
    <w:multiLevelType w:val="hybridMultilevel"/>
    <w:tmpl w:val="DFA2CF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B455209"/>
    <w:multiLevelType w:val="hybridMultilevel"/>
    <w:tmpl w:val="BA945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A843D09"/>
    <w:multiLevelType w:val="hybridMultilevel"/>
    <w:tmpl w:val="977AA802"/>
    <w:lvl w:ilvl="0" w:tplc="40090001">
      <w:start w:val="1"/>
      <w:numFmt w:val="bullet"/>
      <w:lvlText w:val=""/>
      <w:lvlJc w:val="left"/>
      <w:pPr>
        <w:ind w:left="769" w:hanging="360"/>
      </w:pPr>
      <w:rPr>
        <w:rFonts w:ascii="Symbol" w:hAnsi="Symbol" w:hint="default"/>
      </w:rPr>
    </w:lvl>
    <w:lvl w:ilvl="1" w:tplc="40090003" w:tentative="1">
      <w:start w:val="1"/>
      <w:numFmt w:val="bullet"/>
      <w:lvlText w:val="o"/>
      <w:lvlJc w:val="left"/>
      <w:pPr>
        <w:ind w:left="1489" w:hanging="360"/>
      </w:pPr>
      <w:rPr>
        <w:rFonts w:ascii="Courier New" w:hAnsi="Courier New" w:cs="Courier New" w:hint="default"/>
      </w:rPr>
    </w:lvl>
    <w:lvl w:ilvl="2" w:tplc="40090005" w:tentative="1">
      <w:start w:val="1"/>
      <w:numFmt w:val="bullet"/>
      <w:lvlText w:val=""/>
      <w:lvlJc w:val="left"/>
      <w:pPr>
        <w:ind w:left="2209" w:hanging="360"/>
      </w:pPr>
      <w:rPr>
        <w:rFonts w:ascii="Wingdings" w:hAnsi="Wingdings" w:hint="default"/>
      </w:rPr>
    </w:lvl>
    <w:lvl w:ilvl="3" w:tplc="40090001" w:tentative="1">
      <w:start w:val="1"/>
      <w:numFmt w:val="bullet"/>
      <w:lvlText w:val=""/>
      <w:lvlJc w:val="left"/>
      <w:pPr>
        <w:ind w:left="2929" w:hanging="360"/>
      </w:pPr>
      <w:rPr>
        <w:rFonts w:ascii="Symbol" w:hAnsi="Symbol" w:hint="default"/>
      </w:rPr>
    </w:lvl>
    <w:lvl w:ilvl="4" w:tplc="40090003" w:tentative="1">
      <w:start w:val="1"/>
      <w:numFmt w:val="bullet"/>
      <w:lvlText w:val="o"/>
      <w:lvlJc w:val="left"/>
      <w:pPr>
        <w:ind w:left="3649" w:hanging="360"/>
      </w:pPr>
      <w:rPr>
        <w:rFonts w:ascii="Courier New" w:hAnsi="Courier New" w:cs="Courier New" w:hint="default"/>
      </w:rPr>
    </w:lvl>
    <w:lvl w:ilvl="5" w:tplc="40090005" w:tentative="1">
      <w:start w:val="1"/>
      <w:numFmt w:val="bullet"/>
      <w:lvlText w:val=""/>
      <w:lvlJc w:val="left"/>
      <w:pPr>
        <w:ind w:left="4369" w:hanging="360"/>
      </w:pPr>
      <w:rPr>
        <w:rFonts w:ascii="Wingdings" w:hAnsi="Wingdings" w:hint="default"/>
      </w:rPr>
    </w:lvl>
    <w:lvl w:ilvl="6" w:tplc="40090001" w:tentative="1">
      <w:start w:val="1"/>
      <w:numFmt w:val="bullet"/>
      <w:lvlText w:val=""/>
      <w:lvlJc w:val="left"/>
      <w:pPr>
        <w:ind w:left="5089" w:hanging="360"/>
      </w:pPr>
      <w:rPr>
        <w:rFonts w:ascii="Symbol" w:hAnsi="Symbol" w:hint="default"/>
      </w:rPr>
    </w:lvl>
    <w:lvl w:ilvl="7" w:tplc="40090003" w:tentative="1">
      <w:start w:val="1"/>
      <w:numFmt w:val="bullet"/>
      <w:lvlText w:val="o"/>
      <w:lvlJc w:val="left"/>
      <w:pPr>
        <w:ind w:left="5809" w:hanging="360"/>
      </w:pPr>
      <w:rPr>
        <w:rFonts w:ascii="Courier New" w:hAnsi="Courier New" w:cs="Courier New" w:hint="default"/>
      </w:rPr>
    </w:lvl>
    <w:lvl w:ilvl="8" w:tplc="40090005" w:tentative="1">
      <w:start w:val="1"/>
      <w:numFmt w:val="bullet"/>
      <w:lvlText w:val=""/>
      <w:lvlJc w:val="left"/>
      <w:pPr>
        <w:ind w:left="6529" w:hanging="360"/>
      </w:pPr>
      <w:rPr>
        <w:rFonts w:ascii="Wingdings" w:hAnsi="Wingdings" w:hint="default"/>
      </w:rPr>
    </w:lvl>
  </w:abstractNum>
  <w:abstractNum w:abstractNumId="13" w15:restartNumberingAfterBreak="0">
    <w:nsid w:val="62732E14"/>
    <w:multiLevelType w:val="hybridMultilevel"/>
    <w:tmpl w:val="032C2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DB36E4"/>
    <w:multiLevelType w:val="hybridMultilevel"/>
    <w:tmpl w:val="1C04256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224147"/>
    <w:multiLevelType w:val="hybridMultilevel"/>
    <w:tmpl w:val="0B66A8D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3"/>
  </w:num>
  <w:num w:numId="4">
    <w:abstractNumId w:val="6"/>
  </w:num>
  <w:num w:numId="5">
    <w:abstractNumId w:val="4"/>
  </w:num>
  <w:num w:numId="6">
    <w:abstractNumId w:val="0"/>
  </w:num>
  <w:num w:numId="7">
    <w:abstractNumId w:val="10"/>
  </w:num>
  <w:num w:numId="8">
    <w:abstractNumId w:val="12"/>
  </w:num>
  <w:num w:numId="9">
    <w:abstractNumId w:val="3"/>
  </w:num>
  <w:num w:numId="10">
    <w:abstractNumId w:val="7"/>
  </w:num>
  <w:num w:numId="11">
    <w:abstractNumId w:val="1"/>
  </w:num>
  <w:num w:numId="12">
    <w:abstractNumId w:val="14"/>
  </w:num>
  <w:num w:numId="13">
    <w:abstractNumId w:val="2"/>
  </w:num>
  <w:num w:numId="14">
    <w:abstractNumId w:val="5"/>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6"/>
    <w:rsid w:val="00032F74"/>
    <w:rsid w:val="0003688B"/>
    <w:rsid w:val="000601C8"/>
    <w:rsid w:val="00072A3D"/>
    <w:rsid w:val="00084F1B"/>
    <w:rsid w:val="000871A0"/>
    <w:rsid w:val="000D0E6F"/>
    <w:rsid w:val="000D4804"/>
    <w:rsid w:val="000E25C6"/>
    <w:rsid w:val="000F7A2B"/>
    <w:rsid w:val="00107480"/>
    <w:rsid w:val="001167D6"/>
    <w:rsid w:val="001329DC"/>
    <w:rsid w:val="00173F0A"/>
    <w:rsid w:val="00175BE5"/>
    <w:rsid w:val="001822EF"/>
    <w:rsid w:val="001B66DC"/>
    <w:rsid w:val="001C428F"/>
    <w:rsid w:val="001D1A0D"/>
    <w:rsid w:val="002172A8"/>
    <w:rsid w:val="00231830"/>
    <w:rsid w:val="00261872"/>
    <w:rsid w:val="00263D76"/>
    <w:rsid w:val="002D1FF0"/>
    <w:rsid w:val="002D458C"/>
    <w:rsid w:val="002E53FC"/>
    <w:rsid w:val="00301A0E"/>
    <w:rsid w:val="00326AE7"/>
    <w:rsid w:val="00340726"/>
    <w:rsid w:val="00376957"/>
    <w:rsid w:val="00385DE4"/>
    <w:rsid w:val="00392668"/>
    <w:rsid w:val="00397997"/>
    <w:rsid w:val="003A2081"/>
    <w:rsid w:val="003A447D"/>
    <w:rsid w:val="003C6BBD"/>
    <w:rsid w:val="003E3555"/>
    <w:rsid w:val="003F4C3A"/>
    <w:rsid w:val="00414265"/>
    <w:rsid w:val="00426198"/>
    <w:rsid w:val="0043566B"/>
    <w:rsid w:val="00441299"/>
    <w:rsid w:val="00466B34"/>
    <w:rsid w:val="00466EA2"/>
    <w:rsid w:val="00473068"/>
    <w:rsid w:val="00473BAE"/>
    <w:rsid w:val="004A294E"/>
    <w:rsid w:val="004B6660"/>
    <w:rsid w:val="004D7EA7"/>
    <w:rsid w:val="004E5D0B"/>
    <w:rsid w:val="00515968"/>
    <w:rsid w:val="0054175C"/>
    <w:rsid w:val="00590B74"/>
    <w:rsid w:val="00596927"/>
    <w:rsid w:val="005E72E3"/>
    <w:rsid w:val="00607D1E"/>
    <w:rsid w:val="006429C9"/>
    <w:rsid w:val="00661128"/>
    <w:rsid w:val="00661A70"/>
    <w:rsid w:val="00685EA5"/>
    <w:rsid w:val="006A5600"/>
    <w:rsid w:val="006B2917"/>
    <w:rsid w:val="006D3202"/>
    <w:rsid w:val="007152BB"/>
    <w:rsid w:val="00724A2C"/>
    <w:rsid w:val="00733DB2"/>
    <w:rsid w:val="0075165E"/>
    <w:rsid w:val="00771944"/>
    <w:rsid w:val="0078740E"/>
    <w:rsid w:val="007B1912"/>
    <w:rsid w:val="007D104A"/>
    <w:rsid w:val="007D56AF"/>
    <w:rsid w:val="007D5CF4"/>
    <w:rsid w:val="007E4976"/>
    <w:rsid w:val="007E7FED"/>
    <w:rsid w:val="007F3053"/>
    <w:rsid w:val="00826D6D"/>
    <w:rsid w:val="00872972"/>
    <w:rsid w:val="00885DCE"/>
    <w:rsid w:val="00893CB9"/>
    <w:rsid w:val="008A314E"/>
    <w:rsid w:val="008B41AF"/>
    <w:rsid w:val="00920651"/>
    <w:rsid w:val="009262CD"/>
    <w:rsid w:val="0097427F"/>
    <w:rsid w:val="00980C65"/>
    <w:rsid w:val="009852F2"/>
    <w:rsid w:val="009A01F9"/>
    <w:rsid w:val="009F20FA"/>
    <w:rsid w:val="00A010EB"/>
    <w:rsid w:val="00A32145"/>
    <w:rsid w:val="00A3234A"/>
    <w:rsid w:val="00A32F11"/>
    <w:rsid w:val="00A45EDB"/>
    <w:rsid w:val="00A722FC"/>
    <w:rsid w:val="00A8668E"/>
    <w:rsid w:val="00A90444"/>
    <w:rsid w:val="00AF053B"/>
    <w:rsid w:val="00B02EDC"/>
    <w:rsid w:val="00B052FF"/>
    <w:rsid w:val="00B21A6B"/>
    <w:rsid w:val="00B2442B"/>
    <w:rsid w:val="00B4321C"/>
    <w:rsid w:val="00B4621F"/>
    <w:rsid w:val="00B62658"/>
    <w:rsid w:val="00B67CE5"/>
    <w:rsid w:val="00B81E58"/>
    <w:rsid w:val="00B82730"/>
    <w:rsid w:val="00BE1462"/>
    <w:rsid w:val="00BE4920"/>
    <w:rsid w:val="00BF4CEA"/>
    <w:rsid w:val="00C0129C"/>
    <w:rsid w:val="00C37DE1"/>
    <w:rsid w:val="00C44EEB"/>
    <w:rsid w:val="00C647E0"/>
    <w:rsid w:val="00C75FEB"/>
    <w:rsid w:val="00C912C4"/>
    <w:rsid w:val="00CB16AA"/>
    <w:rsid w:val="00CB2AAF"/>
    <w:rsid w:val="00CC329C"/>
    <w:rsid w:val="00CC491E"/>
    <w:rsid w:val="00CF33B3"/>
    <w:rsid w:val="00CF4A0A"/>
    <w:rsid w:val="00D312A8"/>
    <w:rsid w:val="00D330EE"/>
    <w:rsid w:val="00D40BCD"/>
    <w:rsid w:val="00D445B1"/>
    <w:rsid w:val="00D45A06"/>
    <w:rsid w:val="00D87EFC"/>
    <w:rsid w:val="00DB1198"/>
    <w:rsid w:val="00DC102A"/>
    <w:rsid w:val="00DD1C72"/>
    <w:rsid w:val="00DD5FA7"/>
    <w:rsid w:val="00DD669C"/>
    <w:rsid w:val="00E20E76"/>
    <w:rsid w:val="00E50DEF"/>
    <w:rsid w:val="00E61A96"/>
    <w:rsid w:val="00E64BE0"/>
    <w:rsid w:val="00EB28B0"/>
    <w:rsid w:val="00EF05D1"/>
    <w:rsid w:val="00EF3AF0"/>
    <w:rsid w:val="00EF5593"/>
    <w:rsid w:val="00F74140"/>
    <w:rsid w:val="00F75949"/>
    <w:rsid w:val="00F97F50"/>
    <w:rsid w:val="00FA29DE"/>
    <w:rsid w:val="00FA2D43"/>
    <w:rsid w:val="00FB2F79"/>
    <w:rsid w:val="00FB6113"/>
    <w:rsid w:val="00FD5671"/>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EBE3"/>
  <w15:docId w15:val="{B4881651-E78E-4E22-9E32-EE9D845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53"/>
    <w:rPr>
      <w:rFonts w:ascii="Segoe UI" w:hAnsi="Segoe UI" w:cs="Segoe UI"/>
      <w:sz w:val="18"/>
      <w:szCs w:val="18"/>
    </w:rPr>
  </w:style>
  <w:style w:type="paragraph" w:styleId="Header">
    <w:name w:val="header"/>
    <w:basedOn w:val="Normal"/>
    <w:link w:val="HeaderChar"/>
    <w:uiPriority w:val="99"/>
    <w:unhideWhenUsed/>
    <w:rsid w:val="00685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EA5"/>
  </w:style>
  <w:style w:type="paragraph" w:styleId="Footer">
    <w:name w:val="footer"/>
    <w:basedOn w:val="Normal"/>
    <w:link w:val="FooterChar"/>
    <w:uiPriority w:val="99"/>
    <w:unhideWhenUsed/>
    <w:rsid w:val="0068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EA5"/>
  </w:style>
  <w:style w:type="character" w:customStyle="1" w:styleId="fontstyle01">
    <w:name w:val="fontstyle01"/>
    <w:basedOn w:val="DefaultParagraphFont"/>
    <w:rsid w:val="00FA29DE"/>
    <w:rPr>
      <w:rFonts w:ascii="DejaVuSans-Bold" w:hAnsi="DejaVuSans-Bold" w:hint="default"/>
      <w:b/>
      <w:bCs/>
      <w:i w:val="0"/>
      <w:iCs w:val="0"/>
      <w:color w:val="000000"/>
      <w:sz w:val="26"/>
      <w:szCs w:val="26"/>
    </w:rPr>
  </w:style>
  <w:style w:type="character" w:customStyle="1" w:styleId="fontstyle21">
    <w:name w:val="fontstyle21"/>
    <w:basedOn w:val="DefaultParagraphFont"/>
    <w:rsid w:val="004A294E"/>
    <w:rPr>
      <w:rFonts w:ascii="DejaVuSans" w:hAnsi="DejaVuSans" w:hint="default"/>
      <w:b w:val="0"/>
      <w:bCs w:val="0"/>
      <w:i w:val="0"/>
      <w:iCs w:val="0"/>
      <w:color w:val="000000"/>
      <w:sz w:val="26"/>
      <w:szCs w:val="26"/>
    </w:rPr>
  </w:style>
  <w:style w:type="paragraph" w:styleId="ListParagraph">
    <w:name w:val="List Paragraph"/>
    <w:basedOn w:val="Normal"/>
    <w:uiPriority w:val="34"/>
    <w:qFormat/>
    <w:rsid w:val="00AF053B"/>
    <w:pPr>
      <w:ind w:left="720"/>
      <w:contextualSpacing/>
    </w:pPr>
  </w:style>
  <w:style w:type="table" w:styleId="TableGrid">
    <w:name w:val="Table Grid"/>
    <w:basedOn w:val="TableNormal"/>
    <w:uiPriority w:val="59"/>
    <w:rsid w:val="00B2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0271">
      <w:bodyDiv w:val="1"/>
      <w:marLeft w:val="0"/>
      <w:marRight w:val="0"/>
      <w:marTop w:val="0"/>
      <w:marBottom w:val="0"/>
      <w:divBdr>
        <w:top w:val="none" w:sz="0" w:space="0" w:color="auto"/>
        <w:left w:val="none" w:sz="0" w:space="0" w:color="auto"/>
        <w:bottom w:val="none" w:sz="0" w:space="0" w:color="auto"/>
        <w:right w:val="none" w:sz="0" w:space="0" w:color="auto"/>
      </w:divBdr>
    </w:div>
    <w:div w:id="675884171">
      <w:bodyDiv w:val="1"/>
      <w:marLeft w:val="0"/>
      <w:marRight w:val="0"/>
      <w:marTop w:val="0"/>
      <w:marBottom w:val="0"/>
      <w:divBdr>
        <w:top w:val="none" w:sz="0" w:space="0" w:color="auto"/>
        <w:left w:val="none" w:sz="0" w:space="0" w:color="auto"/>
        <w:bottom w:val="none" w:sz="0" w:space="0" w:color="auto"/>
        <w:right w:val="none" w:sz="0" w:space="0" w:color="auto"/>
      </w:divBdr>
    </w:div>
    <w:div w:id="798035154">
      <w:bodyDiv w:val="1"/>
      <w:marLeft w:val="0"/>
      <w:marRight w:val="0"/>
      <w:marTop w:val="0"/>
      <w:marBottom w:val="0"/>
      <w:divBdr>
        <w:top w:val="none" w:sz="0" w:space="0" w:color="auto"/>
        <w:left w:val="none" w:sz="0" w:space="0" w:color="auto"/>
        <w:bottom w:val="none" w:sz="0" w:space="0" w:color="auto"/>
        <w:right w:val="none" w:sz="0" w:space="0" w:color="auto"/>
      </w:divBdr>
    </w:div>
    <w:div w:id="1082411732">
      <w:bodyDiv w:val="1"/>
      <w:marLeft w:val="0"/>
      <w:marRight w:val="0"/>
      <w:marTop w:val="0"/>
      <w:marBottom w:val="0"/>
      <w:divBdr>
        <w:top w:val="none" w:sz="0" w:space="0" w:color="auto"/>
        <w:left w:val="none" w:sz="0" w:space="0" w:color="auto"/>
        <w:bottom w:val="none" w:sz="0" w:space="0" w:color="auto"/>
        <w:right w:val="none" w:sz="0" w:space="0" w:color="auto"/>
      </w:divBdr>
    </w:div>
    <w:div w:id="1139491391">
      <w:bodyDiv w:val="1"/>
      <w:marLeft w:val="0"/>
      <w:marRight w:val="0"/>
      <w:marTop w:val="0"/>
      <w:marBottom w:val="0"/>
      <w:divBdr>
        <w:top w:val="none" w:sz="0" w:space="0" w:color="auto"/>
        <w:left w:val="none" w:sz="0" w:space="0" w:color="auto"/>
        <w:bottom w:val="none" w:sz="0" w:space="0" w:color="auto"/>
        <w:right w:val="none" w:sz="0" w:space="0" w:color="auto"/>
      </w:divBdr>
    </w:div>
    <w:div w:id="14389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 Siri Chandana</dc:creator>
  <cp:keywords/>
  <dc:description/>
  <cp:lastModifiedBy>santosh pr. varma</cp:lastModifiedBy>
  <cp:revision>107</cp:revision>
  <cp:lastPrinted>2023-07-24T05:20:00Z</cp:lastPrinted>
  <dcterms:created xsi:type="dcterms:W3CDTF">2022-06-30T11:01:00Z</dcterms:created>
  <dcterms:modified xsi:type="dcterms:W3CDTF">2023-09-04T10:33:00Z</dcterms:modified>
</cp:coreProperties>
</file>